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C0" w:rsidRDefault="00EA3ED7" w:rsidP="006D33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Modification</w:t>
      </w:r>
      <w:r w:rsidR="006D3356">
        <w:rPr>
          <w:sz w:val="28"/>
          <w:szCs w:val="28"/>
        </w:rPr>
        <w:t xml:space="preserve"> to GoldSheet Routing Approvals</w:t>
      </w:r>
    </w:p>
    <w:p w:rsidR="006D3356" w:rsidRDefault="00F27584" w:rsidP="006D33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Be Implemented in </w:t>
      </w:r>
      <w:r w:rsidR="006D3356">
        <w:rPr>
          <w:sz w:val="28"/>
          <w:szCs w:val="28"/>
        </w:rPr>
        <w:t>Spring</w:t>
      </w:r>
      <w:r>
        <w:rPr>
          <w:sz w:val="28"/>
          <w:szCs w:val="28"/>
        </w:rPr>
        <w:t xml:space="preserve"> </w:t>
      </w:r>
      <w:r w:rsidR="006D3356">
        <w:rPr>
          <w:sz w:val="28"/>
          <w:szCs w:val="28"/>
        </w:rPr>
        <w:t>2016</w:t>
      </w:r>
    </w:p>
    <w:p w:rsidR="006D3356" w:rsidRDefault="006D3356" w:rsidP="006D3356">
      <w:pPr>
        <w:spacing w:after="0" w:line="240" w:lineRule="auto"/>
        <w:rPr>
          <w:sz w:val="28"/>
          <w:szCs w:val="28"/>
        </w:rPr>
      </w:pPr>
    </w:p>
    <w:p w:rsidR="006D3356" w:rsidRDefault="00EA3ED7" w:rsidP="006D33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modification</w:t>
      </w:r>
      <w:r w:rsidR="006D3356">
        <w:rPr>
          <w:sz w:val="28"/>
          <w:szCs w:val="28"/>
        </w:rPr>
        <w:t xml:space="preserve"> will be made to the Liquid Office system’s routing workflow to </w:t>
      </w:r>
      <w:r w:rsidR="004073BB">
        <w:rPr>
          <w:sz w:val="28"/>
          <w:szCs w:val="28"/>
        </w:rPr>
        <w:t xml:space="preserve">simplify </w:t>
      </w:r>
      <w:r w:rsidR="006D3356">
        <w:rPr>
          <w:sz w:val="28"/>
          <w:szCs w:val="28"/>
        </w:rPr>
        <w:t xml:space="preserve">the GoldSheet approval process and to </w:t>
      </w:r>
      <w:r w:rsidR="004073BB">
        <w:rPr>
          <w:sz w:val="28"/>
          <w:szCs w:val="28"/>
        </w:rPr>
        <w:t>improve</w:t>
      </w:r>
      <w:r w:rsidR="006D3356">
        <w:rPr>
          <w:sz w:val="28"/>
          <w:szCs w:val="28"/>
        </w:rPr>
        <w:t xml:space="preserve"> GoldSheet </w:t>
      </w:r>
      <w:r w:rsidR="004073BB">
        <w:rPr>
          <w:sz w:val="28"/>
          <w:szCs w:val="28"/>
        </w:rPr>
        <w:t xml:space="preserve">approval </w:t>
      </w:r>
      <w:r w:rsidR="006D3356">
        <w:rPr>
          <w:sz w:val="28"/>
          <w:szCs w:val="28"/>
        </w:rPr>
        <w:t>processing</w:t>
      </w:r>
      <w:r w:rsidR="004073BB">
        <w:rPr>
          <w:sz w:val="28"/>
          <w:szCs w:val="28"/>
        </w:rPr>
        <w:t xml:space="preserve"> time.  </w:t>
      </w:r>
      <w:r w:rsidR="006D3356">
        <w:rPr>
          <w:sz w:val="28"/>
          <w:szCs w:val="28"/>
        </w:rPr>
        <w:t>The number of</w:t>
      </w:r>
      <w:r w:rsidR="00E565C8">
        <w:rPr>
          <w:sz w:val="28"/>
          <w:szCs w:val="28"/>
        </w:rPr>
        <w:t xml:space="preserve"> departmental</w:t>
      </w:r>
      <w:r w:rsidR="006D3356">
        <w:rPr>
          <w:sz w:val="28"/>
          <w:szCs w:val="28"/>
        </w:rPr>
        <w:t xml:space="preserve"> approvals required for a GoldSheet will decrease</w:t>
      </w:r>
      <w:r w:rsidR="004073BB">
        <w:rPr>
          <w:sz w:val="28"/>
          <w:szCs w:val="28"/>
        </w:rPr>
        <w:t>.</w:t>
      </w:r>
      <w:r>
        <w:rPr>
          <w:sz w:val="28"/>
          <w:szCs w:val="28"/>
        </w:rPr>
        <w:t xml:space="preserve">  With this modification, only the Administering Lead Unit (Department/Center) will approve the GoldSheet.</w:t>
      </w:r>
    </w:p>
    <w:p w:rsidR="004073BB" w:rsidRDefault="004073BB" w:rsidP="006D3356">
      <w:pPr>
        <w:spacing w:after="0" w:line="240" w:lineRule="auto"/>
        <w:rPr>
          <w:sz w:val="28"/>
          <w:szCs w:val="28"/>
        </w:rPr>
      </w:pPr>
    </w:p>
    <w:p w:rsidR="004073BB" w:rsidRDefault="004073BB" w:rsidP="006D33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Current GoldSheet Review and Approval Routing Tree:</w:t>
      </w:r>
    </w:p>
    <w:p w:rsidR="004073BB" w:rsidRDefault="004073BB" w:rsidP="004073B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</w:t>
      </w:r>
    </w:p>
    <w:p w:rsidR="004073BB" w:rsidRDefault="004073BB" w:rsidP="004073B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073BB">
        <w:rPr>
          <w:sz w:val="28"/>
          <w:szCs w:val="28"/>
        </w:rPr>
        <w:t>Co-PIs – approve concurrently</w:t>
      </w:r>
    </w:p>
    <w:p w:rsidR="004073BB" w:rsidRPr="00117682" w:rsidRDefault="004073BB" w:rsidP="004073B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17682">
        <w:rPr>
          <w:b/>
          <w:sz w:val="28"/>
          <w:szCs w:val="28"/>
        </w:rPr>
        <w:t>Department</w:t>
      </w:r>
      <w:r w:rsidR="00E565C8" w:rsidRPr="00117682">
        <w:rPr>
          <w:b/>
          <w:sz w:val="28"/>
          <w:szCs w:val="28"/>
        </w:rPr>
        <w:t>s/Centers of PI and all Co-PIs – approve concurrently</w:t>
      </w:r>
    </w:p>
    <w:p w:rsidR="004073BB" w:rsidRDefault="00E565C8" w:rsidP="004073B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RRCs (College/VP Unit</w:t>
      </w:r>
      <w:r w:rsidR="004073BB">
        <w:rPr>
          <w:sz w:val="28"/>
          <w:szCs w:val="28"/>
        </w:rPr>
        <w:t>)</w:t>
      </w:r>
      <w:r>
        <w:rPr>
          <w:sz w:val="28"/>
          <w:szCs w:val="28"/>
        </w:rPr>
        <w:t xml:space="preserve"> of PI and all Co-PIs</w:t>
      </w:r>
      <w:r w:rsidR="004073B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approve </w:t>
      </w:r>
      <w:r w:rsidR="004073BB">
        <w:rPr>
          <w:sz w:val="28"/>
          <w:szCs w:val="28"/>
        </w:rPr>
        <w:t>one at a time</w:t>
      </w:r>
    </w:p>
    <w:p w:rsidR="004073BB" w:rsidRDefault="004073BB" w:rsidP="004073B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OSPA</w:t>
      </w:r>
    </w:p>
    <w:p w:rsidR="004073BB" w:rsidRDefault="004073BB" w:rsidP="004073BB">
      <w:pPr>
        <w:spacing w:after="0" w:line="240" w:lineRule="auto"/>
        <w:rPr>
          <w:sz w:val="28"/>
          <w:szCs w:val="28"/>
        </w:rPr>
      </w:pPr>
      <w:bookmarkStart w:id="0" w:name="_GoBack"/>
    </w:p>
    <w:bookmarkEnd w:id="0"/>
    <w:p w:rsidR="004073BB" w:rsidRDefault="00E565C8" w:rsidP="004073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EA3ED7">
        <w:rPr>
          <w:sz w:val="28"/>
          <w:szCs w:val="28"/>
        </w:rPr>
        <w:t xml:space="preserve">Modified </w:t>
      </w:r>
      <w:r>
        <w:rPr>
          <w:sz w:val="28"/>
          <w:szCs w:val="28"/>
        </w:rPr>
        <w:t>GoldSheet Review and Approval Routing Tree:</w:t>
      </w:r>
    </w:p>
    <w:p w:rsidR="00E565C8" w:rsidRDefault="00E565C8" w:rsidP="00E565C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</w:t>
      </w:r>
    </w:p>
    <w:p w:rsidR="00E565C8" w:rsidRDefault="00E565C8" w:rsidP="00E565C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073BB">
        <w:rPr>
          <w:sz w:val="28"/>
          <w:szCs w:val="28"/>
        </w:rPr>
        <w:t>Co-PIs – approve concurrently</w:t>
      </w:r>
    </w:p>
    <w:p w:rsidR="00E565C8" w:rsidRPr="00117682" w:rsidRDefault="00E565C8" w:rsidP="00E565C8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117682">
        <w:rPr>
          <w:b/>
          <w:sz w:val="28"/>
          <w:szCs w:val="28"/>
        </w:rPr>
        <w:t>Administering Lead Unit (Department/Center) – one approval</w:t>
      </w:r>
    </w:p>
    <w:p w:rsidR="00E565C8" w:rsidRDefault="00E565C8" w:rsidP="00E565C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RRCs (College/VP Unit) of PI and all Co-PIs – approve one at a time</w:t>
      </w:r>
    </w:p>
    <w:p w:rsidR="00E565C8" w:rsidRDefault="00E565C8" w:rsidP="00E565C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OSPA</w:t>
      </w:r>
    </w:p>
    <w:p w:rsidR="00E565C8" w:rsidRPr="008B52F5" w:rsidRDefault="00EA3ED7" w:rsidP="00EA3ED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Note:  Departments/Centers o</w:t>
      </w:r>
      <w:r w:rsidRPr="008B52F5">
        <w:rPr>
          <w:sz w:val="28"/>
          <w:szCs w:val="28"/>
        </w:rPr>
        <w:t xml:space="preserve">f PI and </w:t>
      </w:r>
      <w:r w:rsidR="008D086E" w:rsidRPr="008B52F5">
        <w:rPr>
          <w:sz w:val="28"/>
          <w:szCs w:val="28"/>
        </w:rPr>
        <w:t xml:space="preserve">of </w:t>
      </w:r>
      <w:r w:rsidRPr="008B52F5">
        <w:rPr>
          <w:sz w:val="28"/>
          <w:szCs w:val="28"/>
        </w:rPr>
        <w:t xml:space="preserve">all Co-PIs that are not the Administering Lead Unit will receive an FYI notification with a copy of the approved GoldSheet attached in their respective Liquid Office work queues </w:t>
      </w:r>
      <w:r w:rsidRPr="008B52F5">
        <w:rPr>
          <w:b/>
          <w:sz w:val="28"/>
          <w:szCs w:val="28"/>
        </w:rPr>
        <w:t>after OSPA has approved the GoldSheet.</w:t>
      </w:r>
    </w:p>
    <w:p w:rsidR="00EA3ED7" w:rsidRPr="008B52F5" w:rsidRDefault="00EA3ED7" w:rsidP="00EA3ED7">
      <w:pPr>
        <w:spacing w:after="0" w:line="240" w:lineRule="auto"/>
        <w:rPr>
          <w:sz w:val="28"/>
          <w:szCs w:val="28"/>
        </w:rPr>
      </w:pPr>
    </w:p>
    <w:p w:rsidR="00EA3ED7" w:rsidRDefault="00EA3ED7" w:rsidP="00EA3ED7">
      <w:pPr>
        <w:spacing w:after="0" w:line="240" w:lineRule="auto"/>
        <w:rPr>
          <w:sz w:val="28"/>
          <w:szCs w:val="28"/>
        </w:rPr>
      </w:pPr>
      <w:r w:rsidRPr="008B52F5">
        <w:rPr>
          <w:sz w:val="28"/>
          <w:szCs w:val="28"/>
        </w:rPr>
        <w:t xml:space="preserve">OSPA anticipates that this change should reduce the GoldSheet approval processing time </w:t>
      </w:r>
      <w:r w:rsidR="008D086E" w:rsidRPr="008B52F5">
        <w:rPr>
          <w:sz w:val="28"/>
          <w:szCs w:val="28"/>
        </w:rPr>
        <w:t xml:space="preserve">for complex GoldSheets </w:t>
      </w:r>
      <w:r w:rsidRPr="008B52F5">
        <w:rPr>
          <w:sz w:val="28"/>
          <w:szCs w:val="28"/>
        </w:rPr>
        <w:t>by</w:t>
      </w:r>
      <w:r>
        <w:rPr>
          <w:sz w:val="28"/>
          <w:szCs w:val="28"/>
        </w:rPr>
        <w:t xml:space="preserve"> a minimum of one day.  If you have any questions, please contact </w:t>
      </w:r>
      <w:hyperlink r:id="rId6" w:history="1">
        <w:r w:rsidRPr="00D76D2D">
          <w:rPr>
            <w:rStyle w:val="Hyperlink"/>
            <w:sz w:val="28"/>
            <w:szCs w:val="28"/>
          </w:rPr>
          <w:t>ospa-proposals@iastate.edu</w:t>
        </w:r>
      </w:hyperlink>
      <w:r>
        <w:rPr>
          <w:sz w:val="28"/>
          <w:szCs w:val="28"/>
        </w:rPr>
        <w:t>.</w:t>
      </w:r>
    </w:p>
    <w:p w:rsidR="00EA3ED7" w:rsidRPr="00EA3ED7" w:rsidRDefault="00EA3ED7" w:rsidP="00EA3ED7">
      <w:pPr>
        <w:spacing w:after="0" w:line="240" w:lineRule="auto"/>
        <w:rPr>
          <w:sz w:val="28"/>
          <w:szCs w:val="28"/>
        </w:rPr>
      </w:pPr>
    </w:p>
    <w:p w:rsidR="00E565C8" w:rsidRPr="00E565C8" w:rsidRDefault="00E565C8" w:rsidP="00E565C8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6D3356" w:rsidRPr="006D3356" w:rsidRDefault="006D3356">
      <w:pPr>
        <w:rPr>
          <w:sz w:val="28"/>
          <w:szCs w:val="28"/>
        </w:rPr>
      </w:pPr>
    </w:p>
    <w:sectPr w:rsidR="006D3356" w:rsidRPr="006D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465B5"/>
    <w:multiLevelType w:val="hybridMultilevel"/>
    <w:tmpl w:val="3CAE2C2C"/>
    <w:lvl w:ilvl="0" w:tplc="3D44C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58413A"/>
    <w:multiLevelType w:val="hybridMultilevel"/>
    <w:tmpl w:val="F0FA702C"/>
    <w:lvl w:ilvl="0" w:tplc="A5706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56"/>
    <w:rsid w:val="00117682"/>
    <w:rsid w:val="004073BB"/>
    <w:rsid w:val="00521FDA"/>
    <w:rsid w:val="00686F44"/>
    <w:rsid w:val="006D3356"/>
    <w:rsid w:val="008B52F5"/>
    <w:rsid w:val="008D086E"/>
    <w:rsid w:val="00B36E11"/>
    <w:rsid w:val="00E565C8"/>
    <w:rsid w:val="00EA3ED7"/>
    <w:rsid w:val="00F27584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a-proposals@ia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Musselman, Becky J [VPR]</dc:creator>
  <cp:lastModifiedBy>Musselman, Becky J [VPR]</cp:lastModifiedBy>
  <cp:revision>2</cp:revision>
  <cp:lastPrinted>2016-01-26T15:46:00Z</cp:lastPrinted>
  <dcterms:created xsi:type="dcterms:W3CDTF">2016-02-09T22:03:00Z</dcterms:created>
  <dcterms:modified xsi:type="dcterms:W3CDTF">2016-02-09T22:03:00Z</dcterms:modified>
</cp:coreProperties>
</file>