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A2" w:rsidRPr="00205C80" w:rsidRDefault="00D467A2" w:rsidP="00D467A2">
      <w:pPr>
        <w:rPr>
          <w:rFonts w:cs="Times New Roman"/>
          <w:b/>
        </w:rPr>
      </w:pPr>
      <w:r w:rsidRPr="00205C80">
        <w:rPr>
          <w:rFonts w:cs="Times New Roman"/>
          <w:b/>
        </w:rPr>
        <w:t xml:space="preserve">GRANT COORDINATOR MEETING </w:t>
      </w:r>
      <w:r>
        <w:rPr>
          <w:rFonts w:cs="Times New Roman"/>
          <w:b/>
        </w:rPr>
        <w:t>05/14/14</w:t>
      </w:r>
    </w:p>
    <w:p w:rsidR="00D467A2" w:rsidRPr="00D467A2" w:rsidRDefault="00D467A2">
      <w:pPr>
        <w:rPr>
          <w:rFonts w:cs="Times New Roman"/>
          <w:b/>
        </w:rPr>
      </w:pPr>
      <w:r w:rsidRPr="00205C80">
        <w:rPr>
          <w:rFonts w:cs="Times New Roman"/>
          <w:b/>
        </w:rPr>
        <w:t>SPONSORED PROGRAMS ACCOUNTING (SPA)</w:t>
      </w:r>
    </w:p>
    <w:p w:rsidR="00D467A2" w:rsidRDefault="00D467A2">
      <w:pPr>
        <w:rPr>
          <w:b/>
        </w:rPr>
      </w:pPr>
    </w:p>
    <w:p w:rsidR="00334C04" w:rsidRPr="009D281C" w:rsidRDefault="00B015B5">
      <w:pPr>
        <w:rPr>
          <w:b/>
        </w:rPr>
      </w:pPr>
      <w:r w:rsidRPr="009D281C">
        <w:rPr>
          <w:b/>
        </w:rPr>
        <w:t>N</w:t>
      </w:r>
      <w:r w:rsidR="00D467A2">
        <w:rPr>
          <w:b/>
        </w:rPr>
        <w:t>ational Science Foundation (N</w:t>
      </w:r>
      <w:r w:rsidRPr="009D281C">
        <w:rPr>
          <w:b/>
        </w:rPr>
        <w:t>SF</w:t>
      </w:r>
      <w:r w:rsidR="00D467A2">
        <w:rPr>
          <w:b/>
        </w:rPr>
        <w:t>)</w:t>
      </w:r>
      <w:r w:rsidRPr="009D281C">
        <w:rPr>
          <w:b/>
        </w:rPr>
        <w:t xml:space="preserve"> Virtual Site Visit</w:t>
      </w:r>
    </w:p>
    <w:p w:rsidR="00B015B5" w:rsidRDefault="00B015B5"/>
    <w:p w:rsidR="00B015B5" w:rsidRDefault="00B015B5">
      <w:r>
        <w:t>As part of NSF’s increased post-award monitoring activiti</w:t>
      </w:r>
      <w:r w:rsidR="004F2606">
        <w:t xml:space="preserve">es of awardee institutions, </w:t>
      </w:r>
      <w:r w:rsidR="00D467A2">
        <w:t xml:space="preserve">the </w:t>
      </w:r>
      <w:r w:rsidR="004F2606">
        <w:t xml:space="preserve">NSF </w:t>
      </w:r>
      <w:r w:rsidR="00D467A2">
        <w:t>Division of Grants and Agreements (</w:t>
      </w:r>
      <w:r w:rsidR="004F2606">
        <w:t>DGA</w:t>
      </w:r>
      <w:r w:rsidR="00D467A2">
        <w:t>)</w:t>
      </w:r>
      <w:r>
        <w:t xml:space="preserve"> scheduled a virtual site visit to assess ISU’s systems as they relate to the administration of NSF funds.  NSF stated that the visit was not an audit; rather the visit focused more on polic</w:t>
      </w:r>
      <w:r w:rsidR="004F2606">
        <w:t>ies</w:t>
      </w:r>
      <w:r>
        <w:t xml:space="preserve"> and procedures to determine ISU’s ability to administer NSF awards in accordance with their regulations. The last NSF </w:t>
      </w:r>
      <w:r w:rsidR="004F2606">
        <w:t>review of policies and procedures</w:t>
      </w:r>
      <w:r w:rsidR="00603BF5">
        <w:t xml:space="preserve"> </w:t>
      </w:r>
      <w:r>
        <w:t>was conducted in 2007.</w:t>
      </w:r>
    </w:p>
    <w:p w:rsidR="00B015B5" w:rsidRDefault="00B015B5"/>
    <w:p w:rsidR="00B015B5" w:rsidRDefault="00B015B5" w:rsidP="00B015B5">
      <w:r>
        <w:t xml:space="preserve">NSF reviewed the following ISU policies and procedures: </w:t>
      </w:r>
    </w:p>
    <w:p w:rsidR="00B015B5" w:rsidRDefault="00B015B5" w:rsidP="00B015B5">
      <w:pPr>
        <w:pStyle w:val="ListParagraph"/>
        <w:numPr>
          <w:ilvl w:val="0"/>
          <w:numId w:val="2"/>
        </w:numPr>
      </w:pPr>
      <w:r>
        <w:t>Time and effort reporting</w:t>
      </w:r>
    </w:p>
    <w:p w:rsidR="00B015B5" w:rsidRDefault="00B015B5" w:rsidP="00B015B5">
      <w:pPr>
        <w:pStyle w:val="ListParagraph"/>
        <w:numPr>
          <w:ilvl w:val="0"/>
          <w:numId w:val="2"/>
        </w:numPr>
      </w:pPr>
      <w:r>
        <w:t>Subawards</w:t>
      </w:r>
    </w:p>
    <w:p w:rsidR="00B015B5" w:rsidRDefault="00B015B5" w:rsidP="00B015B5">
      <w:pPr>
        <w:pStyle w:val="ListParagraph"/>
        <w:numPr>
          <w:ilvl w:val="0"/>
          <w:numId w:val="2"/>
        </w:numPr>
      </w:pPr>
      <w:r>
        <w:t>Cost sharing</w:t>
      </w:r>
    </w:p>
    <w:p w:rsidR="00B015B5" w:rsidRDefault="00B015B5" w:rsidP="00B015B5">
      <w:pPr>
        <w:pStyle w:val="ListParagraph"/>
        <w:numPr>
          <w:ilvl w:val="0"/>
          <w:numId w:val="2"/>
        </w:numPr>
      </w:pPr>
      <w:r>
        <w:t>Travel</w:t>
      </w:r>
    </w:p>
    <w:p w:rsidR="00B015B5" w:rsidRDefault="00B015B5" w:rsidP="00B015B5">
      <w:pPr>
        <w:pStyle w:val="ListParagraph"/>
        <w:numPr>
          <w:ilvl w:val="0"/>
          <w:numId w:val="2"/>
        </w:numPr>
      </w:pPr>
      <w:r>
        <w:t>Equipment</w:t>
      </w:r>
    </w:p>
    <w:p w:rsidR="00B015B5" w:rsidRDefault="00B015B5" w:rsidP="00B015B5">
      <w:pPr>
        <w:pStyle w:val="ListParagraph"/>
        <w:numPr>
          <w:ilvl w:val="0"/>
          <w:numId w:val="2"/>
        </w:numPr>
      </w:pPr>
      <w:r>
        <w:t>Participant Support</w:t>
      </w:r>
    </w:p>
    <w:p w:rsidR="00B015B5" w:rsidRDefault="00B015B5"/>
    <w:p w:rsidR="00675705" w:rsidRDefault="00B015B5">
      <w:r>
        <w:t>In addition, NSF se</w:t>
      </w:r>
      <w:r w:rsidR="004B6F3D">
        <w:t xml:space="preserve">lected </w:t>
      </w:r>
      <w:r w:rsidR="00FB7476">
        <w:t xml:space="preserve">for review </w:t>
      </w:r>
      <w:r w:rsidR="0044555E">
        <w:t xml:space="preserve">6 months of transaction detail for </w:t>
      </w:r>
      <w:r w:rsidR="004B6F3D">
        <w:t>two</w:t>
      </w:r>
      <w:r w:rsidR="00332440">
        <w:t xml:space="preserve"> large</w:t>
      </w:r>
      <w:r w:rsidR="004B6F3D">
        <w:t xml:space="preserve"> awards to ensure that the administration of the award</w:t>
      </w:r>
      <w:r w:rsidR="0044555E">
        <w:t>s</w:t>
      </w:r>
      <w:r w:rsidR="004B6F3D">
        <w:t xml:space="preserve"> was in</w:t>
      </w:r>
      <w:r w:rsidR="00332440">
        <w:t xml:space="preserve"> </w:t>
      </w:r>
      <w:r w:rsidR="004B6F3D">
        <w:t>compliance with the administrative and financial terms and conditions of the award</w:t>
      </w:r>
      <w:r w:rsidR="0044555E">
        <w:t>s</w:t>
      </w:r>
      <w:r w:rsidR="004B6F3D">
        <w:t xml:space="preserve">. </w:t>
      </w:r>
    </w:p>
    <w:p w:rsidR="00675705" w:rsidRDefault="00675705"/>
    <w:p w:rsidR="00720DA4" w:rsidRDefault="00720DA4">
      <w:r>
        <w:t xml:space="preserve">After the completion of the site visit, NSF sent ISU a letter </w:t>
      </w:r>
      <w:r w:rsidR="00332440">
        <w:t xml:space="preserve">report in April of 2014 </w:t>
      </w:r>
      <w:r>
        <w:t>with recommendations for the following areas:</w:t>
      </w:r>
    </w:p>
    <w:p w:rsidR="00720DA4" w:rsidRDefault="00720DA4"/>
    <w:p w:rsidR="00720DA4" w:rsidRDefault="00720DA4">
      <w:r>
        <w:t>Expenditure Monitoring</w:t>
      </w:r>
    </w:p>
    <w:p w:rsidR="00720DA4" w:rsidRDefault="00720DA4" w:rsidP="00720DA4">
      <w:pPr>
        <w:pStyle w:val="ListParagraph"/>
        <w:numPr>
          <w:ilvl w:val="0"/>
          <w:numId w:val="3"/>
        </w:numPr>
      </w:pPr>
      <w:r>
        <w:t xml:space="preserve">ISU should </w:t>
      </w:r>
      <w:r w:rsidR="009D281C">
        <w:t>establish written</w:t>
      </w:r>
      <w:r>
        <w:t xml:space="preserve"> </w:t>
      </w:r>
      <w:r w:rsidR="00603BF5">
        <w:t xml:space="preserve">guidelines </w:t>
      </w:r>
      <w:r>
        <w:t>and procedures for expenditures monitoring</w:t>
      </w:r>
      <w:r w:rsidR="00AA53E6">
        <w:t xml:space="preserve"> on sponsored programs accounts</w:t>
      </w:r>
    </w:p>
    <w:p w:rsidR="00E215C9" w:rsidRDefault="00E215C9" w:rsidP="00720DA4">
      <w:pPr>
        <w:pStyle w:val="ListParagraph"/>
        <w:numPr>
          <w:ilvl w:val="0"/>
          <w:numId w:val="3"/>
        </w:numPr>
      </w:pPr>
      <w:r>
        <w:t>Due to the decentralized nature of the university, NSF recommended that</w:t>
      </w:r>
      <w:r w:rsidR="00332440">
        <w:t xml:space="preserve"> PIs and</w:t>
      </w:r>
      <w:r>
        <w:t xml:space="preserve"> departmental staff participate in mandatory training on allocability, </w:t>
      </w:r>
      <w:r w:rsidR="000F28BA">
        <w:t>allowability and reasonableness of costs</w:t>
      </w:r>
    </w:p>
    <w:p w:rsidR="000F28BA" w:rsidRDefault="000F28BA" w:rsidP="000F28BA"/>
    <w:p w:rsidR="000F28BA" w:rsidRDefault="000F28BA" w:rsidP="000F28BA">
      <w:r>
        <w:t>Participant Support Costs (PSC</w:t>
      </w:r>
      <w:r w:rsidR="00675705">
        <w:t>s</w:t>
      </w:r>
      <w:r>
        <w:t>)</w:t>
      </w:r>
      <w:r w:rsidR="00675705">
        <w:t xml:space="preserve"> and Hospitality Costs</w:t>
      </w:r>
    </w:p>
    <w:p w:rsidR="000F28BA" w:rsidRDefault="000F28BA" w:rsidP="000F28BA">
      <w:pPr>
        <w:pStyle w:val="ListParagraph"/>
        <w:numPr>
          <w:ilvl w:val="0"/>
          <w:numId w:val="4"/>
        </w:numPr>
      </w:pPr>
      <w:r>
        <w:t xml:space="preserve">Establish written </w:t>
      </w:r>
      <w:r w:rsidR="00603BF5">
        <w:t>guidelines</w:t>
      </w:r>
      <w:r w:rsidR="00603BF5">
        <w:t xml:space="preserve"> </w:t>
      </w:r>
      <w:r>
        <w:t>and procedures for PSCs, including requirements to adequately document all PSCs charged to NSF awards</w:t>
      </w:r>
    </w:p>
    <w:p w:rsidR="000F28BA" w:rsidRDefault="000F28BA" w:rsidP="000F28BA">
      <w:pPr>
        <w:pStyle w:val="ListParagraph"/>
        <w:numPr>
          <w:ilvl w:val="0"/>
          <w:numId w:val="4"/>
        </w:numPr>
      </w:pPr>
      <w:r>
        <w:t xml:space="preserve">Request </w:t>
      </w:r>
      <w:r w:rsidR="00675705">
        <w:t xml:space="preserve">retroactive </w:t>
      </w:r>
      <w:r>
        <w:t>NSF approval for the rebudget of PSCs to a subcontractor’s PSC budget line</w:t>
      </w:r>
    </w:p>
    <w:p w:rsidR="000F28BA" w:rsidRDefault="00675705" w:rsidP="000F28BA">
      <w:pPr>
        <w:pStyle w:val="ListParagraph"/>
        <w:numPr>
          <w:ilvl w:val="0"/>
          <w:numId w:val="4"/>
        </w:numPr>
      </w:pPr>
      <w:r>
        <w:t>Review all hospitality expenditures on all NSF awards with PSCs to ensure the allowability of those charges</w:t>
      </w:r>
    </w:p>
    <w:p w:rsidR="00675705" w:rsidRDefault="00675705" w:rsidP="000F28BA">
      <w:pPr>
        <w:pStyle w:val="ListParagraph"/>
        <w:numPr>
          <w:ilvl w:val="0"/>
          <w:numId w:val="4"/>
        </w:numPr>
      </w:pPr>
      <w:r>
        <w:t>Review all hospitality expenditures on one of the selected NSF awards and send NSF a copy of the adjusting entries for any expenditures that are removed</w:t>
      </w:r>
    </w:p>
    <w:p w:rsidR="00675705" w:rsidRDefault="00675705" w:rsidP="00675705"/>
    <w:p w:rsidR="00675705" w:rsidRDefault="0044555E" w:rsidP="00FB7476">
      <w:r>
        <w:t>P</w:t>
      </w:r>
      <w:r w:rsidR="00675705">
        <w:t xml:space="preserve">rocesses, policies, and/or sample testing </w:t>
      </w:r>
      <w:r>
        <w:t xml:space="preserve">for the </w:t>
      </w:r>
      <w:r w:rsidR="00FB7476">
        <w:t>other</w:t>
      </w:r>
      <w:r>
        <w:t xml:space="preserve"> areas </w:t>
      </w:r>
      <w:r w:rsidR="00FB7476">
        <w:t xml:space="preserve">that </w:t>
      </w:r>
      <w:r w:rsidR="00675705">
        <w:t>were reviewed by NSF resulted in no</w:t>
      </w:r>
      <w:r w:rsidR="00FB7476">
        <w:t xml:space="preserve"> recommendations.</w:t>
      </w:r>
    </w:p>
    <w:p w:rsidR="00D467A2" w:rsidRDefault="00D467A2" w:rsidP="00FB7476"/>
    <w:p w:rsidR="00D467A2" w:rsidRDefault="00D467A2" w:rsidP="00D467A2">
      <w:pPr>
        <w:rPr>
          <w:b/>
        </w:rPr>
      </w:pPr>
    </w:p>
    <w:p w:rsidR="00D467A2" w:rsidRDefault="00D467A2" w:rsidP="00D467A2">
      <w:pPr>
        <w:rPr>
          <w:b/>
        </w:rPr>
      </w:pPr>
    </w:p>
    <w:p w:rsidR="00D467A2" w:rsidRDefault="00D467A2" w:rsidP="00D467A2">
      <w:pPr>
        <w:rPr>
          <w:b/>
        </w:rPr>
      </w:pPr>
    </w:p>
    <w:p w:rsidR="00D467A2" w:rsidRPr="00542A61" w:rsidRDefault="00D467A2" w:rsidP="00D467A2">
      <w:pPr>
        <w:rPr>
          <w:b/>
        </w:rPr>
      </w:pPr>
      <w:r w:rsidRPr="00542A61">
        <w:rPr>
          <w:b/>
        </w:rPr>
        <w:lastRenderedPageBreak/>
        <w:t>Putting Sub</w:t>
      </w:r>
      <w:r>
        <w:rPr>
          <w:b/>
        </w:rPr>
        <w:t>recipient</w:t>
      </w:r>
      <w:r w:rsidRPr="00542A61">
        <w:rPr>
          <w:b/>
        </w:rPr>
        <w:t xml:space="preserve"> Invoice VO Approvals on Hold</w:t>
      </w:r>
    </w:p>
    <w:p w:rsidR="00D467A2" w:rsidRDefault="00D467A2" w:rsidP="00D467A2"/>
    <w:p w:rsidR="00D467A2" w:rsidRDefault="00D467A2" w:rsidP="00D467A2">
      <w:r>
        <w:t xml:space="preserve">Subrecipient invoices under $5,000 will be subject to negative approval, meaning that a non-response to a VO voucher will result in the invoice automatically being paid after five business days.  </w:t>
      </w:r>
    </w:p>
    <w:p w:rsidR="00D467A2" w:rsidRDefault="00D467A2" w:rsidP="00D467A2"/>
    <w:p w:rsidR="00D467A2" w:rsidRDefault="00D467A2" w:rsidP="00D467A2">
      <w:r>
        <w:t xml:space="preserve">A VO that is subject to negative approval will have “NEG” at the end of the VO title. </w:t>
      </w:r>
    </w:p>
    <w:p w:rsidR="00D467A2" w:rsidRDefault="00D467A2" w:rsidP="00D467A2"/>
    <w:p w:rsidR="00D467A2" w:rsidRDefault="00D467A2" w:rsidP="00D467A2">
      <w:r>
        <w:rPr>
          <w:noProof/>
        </w:rPr>
        <mc:AlternateContent>
          <mc:Choice Requires="wps">
            <w:drawing>
              <wp:anchor distT="0" distB="0" distL="114300" distR="114300" simplePos="0" relativeHeight="251661312" behindDoc="0" locked="0" layoutInCell="1" allowOverlap="1" wp14:anchorId="451C3E1F" wp14:editId="6788144F">
                <wp:simplePos x="0" y="0"/>
                <wp:positionH relativeFrom="column">
                  <wp:posOffset>1895475</wp:posOffset>
                </wp:positionH>
                <wp:positionV relativeFrom="paragraph">
                  <wp:posOffset>121920</wp:posOffset>
                </wp:positionV>
                <wp:extent cx="428625" cy="180975"/>
                <wp:effectExtent l="9525" t="9525" r="9525" b="952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49.25pt;margin-top:9.6pt;width:33.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" filled="f" strokecolor="red"/>
            </w:pict>
          </mc:Fallback>
        </mc:AlternateContent>
      </w:r>
      <w:r>
        <w:rPr>
          <w:noProof/>
        </w:rPr>
        <w:drawing>
          <wp:inline distT="0" distB="0" distL="0" distR="0" wp14:anchorId="4DA0B818" wp14:editId="29C33E45">
            <wp:extent cx="4219048" cy="3047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19048" cy="304762"/>
                    </a:xfrm>
                    <a:prstGeom prst="rect">
                      <a:avLst/>
                    </a:prstGeom>
                  </pic:spPr>
                </pic:pic>
              </a:graphicData>
            </a:graphic>
          </wp:inline>
        </w:drawing>
      </w:r>
    </w:p>
    <w:p w:rsidR="00D467A2" w:rsidRDefault="00D467A2" w:rsidP="00D467A2"/>
    <w:p w:rsidR="00D467A2" w:rsidRDefault="00D467A2" w:rsidP="00D467A2">
      <w:r>
        <w:t xml:space="preserve">Given that five business days is typically not enough time to obtain approval from the PI of the subrecipient’s invoice, you can put negative approval VO vouchers on hold.  There is a hold indicator located on the Voucher Information panel.  </w:t>
      </w:r>
    </w:p>
    <w:p w:rsidR="00D467A2" w:rsidRDefault="00D467A2" w:rsidP="00D467A2"/>
    <w:p w:rsidR="00D467A2" w:rsidRDefault="00D467A2" w:rsidP="00D467A2">
      <w:r>
        <w:rPr>
          <w:noProof/>
        </w:rPr>
        <mc:AlternateContent>
          <mc:Choice Requires="wps">
            <w:drawing>
              <wp:anchor distT="0" distB="0" distL="114300" distR="114300" simplePos="0" relativeHeight="251660288" behindDoc="0" locked="0" layoutInCell="1" allowOverlap="1" wp14:anchorId="7C446990" wp14:editId="6792A85B">
                <wp:simplePos x="0" y="0"/>
                <wp:positionH relativeFrom="column">
                  <wp:posOffset>4295775</wp:posOffset>
                </wp:positionH>
                <wp:positionV relativeFrom="paragraph">
                  <wp:posOffset>104775</wp:posOffset>
                </wp:positionV>
                <wp:extent cx="1790700" cy="13430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7A2" w:rsidRDefault="00D467A2" w:rsidP="00D467A2">
                            <w:r>
                              <w:t xml:space="preserve">Check the Hold Indicator checkbox.  </w:t>
                            </w:r>
                          </w:p>
                          <w:p w:rsidR="00D467A2" w:rsidRDefault="00D467A2" w:rsidP="00D467A2"/>
                          <w:p w:rsidR="00D467A2" w:rsidRDefault="00D467A2" w:rsidP="00D467A2">
                            <w:r>
                              <w:t xml:space="preserve">Then click </w:t>
                            </w:r>
                            <w:r w:rsidRPr="004F05BA">
                              <w:rPr>
                                <w:i/>
                              </w:rPr>
                              <w:t>Save</w:t>
                            </w:r>
                            <w:r>
                              <w:t xml:space="preserve"> at the bottom of the </w:t>
                            </w:r>
                            <w:proofErr w:type="spellStart"/>
                            <w:r>
                              <w:t>edoc</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8.25pt;margin-top:8.25pt;width:141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" stroked="f">
                <v:textbox>
                  <w:txbxContent>
                    <w:p w:rsidR="00D467A2" w:rsidRDefault="00D467A2" w:rsidP="00D467A2">
                      <w:r>
                        <w:t xml:space="preserve">Check the Hold Indicator checkbox.  </w:t>
                      </w:r>
                    </w:p>
                    <w:p w:rsidR="00D467A2" w:rsidRDefault="00D467A2" w:rsidP="00D467A2"/>
                    <w:p w:rsidR="00D467A2" w:rsidRDefault="00D467A2" w:rsidP="00D467A2">
                      <w:r>
                        <w:t xml:space="preserve">Then click </w:t>
                      </w:r>
                      <w:r w:rsidRPr="004F05BA">
                        <w:rPr>
                          <w:i/>
                        </w:rPr>
                        <w:t>Save</w:t>
                      </w:r>
                      <w:r>
                        <w:t xml:space="preserve"> at the bottom of the </w:t>
                      </w:r>
                      <w:proofErr w:type="spellStart"/>
                      <w:r>
                        <w:t>edoc</w:t>
                      </w:r>
                      <w:proofErr w:type="spellEnd"/>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7DF08D" wp14:editId="21823CC0">
                <wp:simplePos x="0" y="0"/>
                <wp:positionH relativeFrom="column">
                  <wp:posOffset>2428875</wp:posOffset>
                </wp:positionH>
                <wp:positionV relativeFrom="paragraph">
                  <wp:posOffset>914400</wp:posOffset>
                </wp:positionV>
                <wp:extent cx="619125" cy="333375"/>
                <wp:effectExtent l="85725" t="28575" r="28575" b="1238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333375"/>
                        </a:xfrm>
                        <a:prstGeom prst="straightConnector1">
                          <a:avLst/>
                        </a:prstGeom>
                        <a:noFill/>
                        <a:ln w="57150" cmpd="sng">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1.25pt;margin-top:1in;width:48.75pt;height:2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" strokecolor="red" strokeweight="4.5pt">
                <v:stroke endarrow="block"/>
              </v:shape>
            </w:pict>
          </mc:Fallback>
        </mc:AlternateContent>
      </w:r>
      <w:r>
        <w:rPr>
          <w:noProof/>
        </w:rPr>
        <w:drawing>
          <wp:inline distT="0" distB="0" distL="0" distR="0" wp14:anchorId="5AD4B1CD" wp14:editId="2CB5EDC6">
            <wp:extent cx="4114286" cy="14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14286" cy="1438095"/>
                    </a:xfrm>
                    <a:prstGeom prst="rect">
                      <a:avLst/>
                    </a:prstGeom>
                  </pic:spPr>
                </pic:pic>
              </a:graphicData>
            </a:graphic>
          </wp:inline>
        </w:drawing>
      </w:r>
    </w:p>
    <w:p w:rsidR="00D467A2" w:rsidRDefault="00D467A2" w:rsidP="00D467A2"/>
    <w:p w:rsidR="00D467A2" w:rsidRDefault="00D467A2" w:rsidP="00D467A2">
      <w:r>
        <w:t>Once you have obtained the PI’s approval of the subrecipient</w:t>
      </w:r>
      <w:r>
        <w:t>’s</w:t>
      </w:r>
      <w:r>
        <w:t xml:space="preserve"> invoice, you can click </w:t>
      </w:r>
      <w:r w:rsidRPr="004F05BA">
        <w:rPr>
          <w:i/>
        </w:rPr>
        <w:t>Approve</w:t>
      </w:r>
      <w:r>
        <w:t xml:space="preserve"> to have the VO voucher continue </w:t>
      </w:r>
      <w:r>
        <w:t>routing</w:t>
      </w:r>
      <w:r>
        <w:t xml:space="preserve"> for payment.  </w:t>
      </w:r>
    </w:p>
    <w:p w:rsidR="00D467A2" w:rsidRDefault="00D467A2" w:rsidP="00D467A2"/>
    <w:p w:rsidR="00D467A2" w:rsidRDefault="00D467A2" w:rsidP="00D467A2">
      <w:r>
        <w:t xml:space="preserve">Please note that SPA recommends that the PI’s approval of the invoice be documented via email or by a signature on a paper copy of the invoice which is then added to the VO as an attachment. </w:t>
      </w:r>
    </w:p>
    <w:p w:rsidR="00D467A2" w:rsidRDefault="00D467A2" w:rsidP="00FB7476">
      <w:bookmarkStart w:id="0" w:name="_GoBack"/>
      <w:bookmarkEnd w:id="0"/>
    </w:p>
    <w:sectPr w:rsidR="00D467A2" w:rsidSect="00AA53E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93C"/>
    <w:multiLevelType w:val="hybridMultilevel"/>
    <w:tmpl w:val="AF36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3141F"/>
    <w:multiLevelType w:val="hybridMultilevel"/>
    <w:tmpl w:val="39DE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876B4"/>
    <w:multiLevelType w:val="hybridMultilevel"/>
    <w:tmpl w:val="400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67C86"/>
    <w:multiLevelType w:val="hybridMultilevel"/>
    <w:tmpl w:val="C600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81C5E"/>
    <w:multiLevelType w:val="hybridMultilevel"/>
    <w:tmpl w:val="D29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B5"/>
    <w:rsid w:val="000311D7"/>
    <w:rsid w:val="000F28BA"/>
    <w:rsid w:val="001A5BD0"/>
    <w:rsid w:val="00332440"/>
    <w:rsid w:val="00334C04"/>
    <w:rsid w:val="0044555E"/>
    <w:rsid w:val="004B6F3D"/>
    <w:rsid w:val="004F2606"/>
    <w:rsid w:val="00603BF5"/>
    <w:rsid w:val="00675705"/>
    <w:rsid w:val="00720DA4"/>
    <w:rsid w:val="009D281C"/>
    <w:rsid w:val="00AA53E6"/>
    <w:rsid w:val="00B015B5"/>
    <w:rsid w:val="00D4632B"/>
    <w:rsid w:val="00D467A2"/>
    <w:rsid w:val="00E215C9"/>
    <w:rsid w:val="00FB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Rentschler, Jamy K </cp:lastModifiedBy>
  <cp:revision>3</cp:revision>
  <dcterms:created xsi:type="dcterms:W3CDTF">2014-05-13T22:23:00Z</dcterms:created>
  <dcterms:modified xsi:type="dcterms:W3CDTF">2014-05-13T22:27:00Z</dcterms:modified>
</cp:coreProperties>
</file>