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DA" w:rsidRDefault="009443DA" w:rsidP="009443DA">
      <w:pPr>
        <w:spacing w:after="0" w:line="240" w:lineRule="auto"/>
        <w:rPr>
          <w:rFonts w:ascii="Times New Roman" w:hAnsi="Times New Roman" w:cs="Times New Roman"/>
          <w:b/>
          <w:sz w:val="24"/>
          <w:szCs w:val="24"/>
        </w:rPr>
      </w:pPr>
      <w:r>
        <w:rPr>
          <w:rFonts w:ascii="Times New Roman" w:hAnsi="Times New Roman" w:cs="Times New Roman"/>
          <w:b/>
          <w:sz w:val="24"/>
          <w:szCs w:val="24"/>
        </w:rPr>
        <w:t>GRANT COORDINATOR MEETING 5/15/13</w:t>
      </w:r>
    </w:p>
    <w:p w:rsidR="009443DA" w:rsidRDefault="009443DA" w:rsidP="009443DA">
      <w:pPr>
        <w:spacing w:after="0" w:line="240" w:lineRule="auto"/>
        <w:rPr>
          <w:rFonts w:ascii="Times New Roman" w:hAnsi="Times New Roman" w:cs="Times New Roman"/>
          <w:b/>
          <w:sz w:val="24"/>
          <w:szCs w:val="24"/>
        </w:rPr>
      </w:pPr>
      <w:r>
        <w:rPr>
          <w:rFonts w:ascii="Times New Roman" w:hAnsi="Times New Roman" w:cs="Times New Roman"/>
          <w:b/>
          <w:sz w:val="24"/>
          <w:szCs w:val="24"/>
        </w:rPr>
        <w:t>SPONSORED PROGRAMS ACCOUNTING (SPA)</w:t>
      </w:r>
    </w:p>
    <w:p w:rsidR="00EF7806" w:rsidRDefault="00EF7806" w:rsidP="00EF7806">
      <w:pPr>
        <w:spacing w:after="0" w:line="240" w:lineRule="auto"/>
      </w:pPr>
    </w:p>
    <w:p w:rsidR="00EF7806" w:rsidRPr="009443DA" w:rsidRDefault="006752C4" w:rsidP="00EF7806">
      <w:pPr>
        <w:spacing w:after="0" w:line="240" w:lineRule="auto"/>
        <w:rPr>
          <w:rFonts w:ascii="Times New Roman" w:hAnsi="Times New Roman" w:cs="Times New Roman"/>
          <w:b/>
          <w:sz w:val="24"/>
          <w:szCs w:val="24"/>
        </w:rPr>
      </w:pPr>
      <w:r>
        <w:rPr>
          <w:rFonts w:ascii="Times New Roman" w:hAnsi="Times New Roman" w:cs="Times New Roman"/>
          <w:b/>
          <w:sz w:val="24"/>
          <w:szCs w:val="24"/>
        </w:rPr>
        <w:t>CHANGES IN ACCOUNT NOTIFICATIONS</w:t>
      </w:r>
    </w:p>
    <w:p w:rsidR="00CB55D1" w:rsidRDefault="00CB55D1" w:rsidP="00EF7806">
      <w:pPr>
        <w:spacing w:after="0" w:line="240" w:lineRule="auto"/>
        <w:rPr>
          <w:rFonts w:ascii="Times New Roman" w:hAnsi="Times New Roman" w:cs="Times New Roman"/>
          <w:sz w:val="24"/>
          <w:szCs w:val="24"/>
        </w:rPr>
      </w:pPr>
    </w:p>
    <w:p w:rsidR="00EF7806" w:rsidRPr="009443DA" w:rsidRDefault="00EF7806" w:rsidP="00EF7806">
      <w:p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 xml:space="preserve">Currently, SPA sends out monthly notifications on accounts that are overspent, 90% spent, and terminating in 90 days.  Due to the transition to Kuali, these notifications will change as follows: </w:t>
      </w:r>
    </w:p>
    <w:p w:rsidR="00EF7806" w:rsidRPr="009443DA" w:rsidRDefault="00EF7806" w:rsidP="00EF7806">
      <w:pPr>
        <w:pStyle w:val="ListParagraph"/>
        <w:numPr>
          <w:ilvl w:val="0"/>
          <w:numId w:val="1"/>
        </w:num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Overspent Accounts – these may look a little different, but will have the same basic information.  The</w:t>
      </w:r>
      <w:r w:rsidR="002A3E46">
        <w:rPr>
          <w:rFonts w:ascii="Times New Roman" w:hAnsi="Times New Roman" w:cs="Times New Roman"/>
          <w:sz w:val="24"/>
          <w:szCs w:val="24"/>
        </w:rPr>
        <w:t>y</w:t>
      </w:r>
      <w:r w:rsidRPr="009443DA">
        <w:rPr>
          <w:rFonts w:ascii="Times New Roman" w:hAnsi="Times New Roman" w:cs="Times New Roman"/>
          <w:sz w:val="24"/>
          <w:szCs w:val="24"/>
        </w:rPr>
        <w:t xml:space="preserve"> will still be individual notices sent both to the PI and departmental administrator by the SPA accountant.</w:t>
      </w:r>
    </w:p>
    <w:p w:rsidR="00EF7806" w:rsidRPr="009443DA" w:rsidRDefault="00EF7806" w:rsidP="00EF7806">
      <w:pPr>
        <w:pStyle w:val="ListParagraph"/>
        <w:numPr>
          <w:ilvl w:val="0"/>
          <w:numId w:val="1"/>
        </w:num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 xml:space="preserve">Accounts Terminating in 90 days – a list of all accounts terminating in 90 days will be generated for each Admin DICE and will be sent to the departmental administrator, with the PIs </w:t>
      </w:r>
      <w:r w:rsidR="002A3E46">
        <w:rPr>
          <w:rFonts w:ascii="Times New Roman" w:hAnsi="Times New Roman" w:cs="Times New Roman"/>
          <w:sz w:val="24"/>
          <w:szCs w:val="24"/>
        </w:rPr>
        <w:t xml:space="preserve">on </w:t>
      </w:r>
      <w:r w:rsidRPr="009443DA">
        <w:rPr>
          <w:rFonts w:ascii="Times New Roman" w:hAnsi="Times New Roman" w:cs="Times New Roman"/>
          <w:sz w:val="24"/>
          <w:szCs w:val="24"/>
        </w:rPr>
        <w:t xml:space="preserve">the accounts copied on the email.  These notices will be sent by the SPA program coordinator, Nichole Seedorf.  </w:t>
      </w:r>
    </w:p>
    <w:p w:rsidR="00EF7806" w:rsidRPr="009443DA" w:rsidRDefault="00EF7806" w:rsidP="00EF7806">
      <w:pPr>
        <w:pStyle w:val="ListParagraph"/>
        <w:numPr>
          <w:ilvl w:val="0"/>
          <w:numId w:val="1"/>
        </w:num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 xml:space="preserve">Accounts with 90% Spent – SPA will no longer be sending out these account notices. </w:t>
      </w:r>
    </w:p>
    <w:p w:rsidR="00EF7806" w:rsidRPr="009443DA" w:rsidRDefault="00EF7806" w:rsidP="00EF7806">
      <w:pPr>
        <w:spacing w:after="0" w:line="240" w:lineRule="auto"/>
        <w:rPr>
          <w:rFonts w:ascii="Times New Roman" w:hAnsi="Times New Roman" w:cs="Times New Roman"/>
          <w:sz w:val="24"/>
          <w:szCs w:val="24"/>
        </w:rPr>
      </w:pPr>
    </w:p>
    <w:p w:rsidR="00EF7806" w:rsidRPr="009443DA" w:rsidRDefault="00C55222" w:rsidP="00EF7806">
      <w:p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 xml:space="preserve">Please note that you can utilize the Sponsored Programs Financial portal in eData to easily identify accounts that are 90%+ spent, 100% spent, or overspent by college, department, and PI.  </w:t>
      </w:r>
    </w:p>
    <w:p w:rsidR="00C55222" w:rsidRPr="009443DA" w:rsidRDefault="00C55222" w:rsidP="00EF7806">
      <w:pPr>
        <w:spacing w:after="0" w:line="240" w:lineRule="auto"/>
        <w:rPr>
          <w:rFonts w:ascii="Times New Roman" w:hAnsi="Times New Roman" w:cs="Times New Roman"/>
          <w:sz w:val="24"/>
          <w:szCs w:val="24"/>
        </w:rPr>
      </w:pPr>
    </w:p>
    <w:p w:rsidR="005668B9" w:rsidRPr="009443DA" w:rsidRDefault="006752C4" w:rsidP="005668B9">
      <w:pPr>
        <w:spacing w:after="0" w:line="240" w:lineRule="auto"/>
        <w:rPr>
          <w:rFonts w:ascii="Times New Roman" w:hAnsi="Times New Roman" w:cs="Times New Roman"/>
          <w:b/>
          <w:sz w:val="24"/>
          <w:szCs w:val="24"/>
        </w:rPr>
      </w:pPr>
      <w:r>
        <w:rPr>
          <w:rFonts w:ascii="Times New Roman" w:hAnsi="Times New Roman" w:cs="Times New Roman"/>
          <w:b/>
          <w:sz w:val="24"/>
          <w:szCs w:val="24"/>
        </w:rPr>
        <w:t>WEBFM CHANGES ON NATIONAL SCIENCE FOUNDATION AWARDS</w:t>
      </w:r>
    </w:p>
    <w:p w:rsidR="00CB55D1" w:rsidRDefault="00CB55D1" w:rsidP="006752C4">
      <w:pPr>
        <w:spacing w:after="0" w:line="240" w:lineRule="auto"/>
        <w:rPr>
          <w:rFonts w:ascii="Times New Roman" w:hAnsi="Times New Roman" w:cs="Times New Roman"/>
          <w:sz w:val="24"/>
          <w:szCs w:val="24"/>
        </w:rPr>
      </w:pPr>
    </w:p>
    <w:p w:rsidR="005668B9" w:rsidRDefault="005668B9" w:rsidP="006752C4">
      <w:p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In the past, when National Science Foundation (NSF) accounts were set up, Sponsored Programs Accounting would transfer funds from the NSF control account to the new account for the entire amount of the award.  This resulted in the cash balance being equal to the unspent balance of the award in WebFM.  The account would normally have a positive cash balance, unless the account was overspent.</w:t>
      </w:r>
    </w:p>
    <w:p w:rsidR="006752C4" w:rsidRPr="009443DA" w:rsidRDefault="006752C4" w:rsidP="006752C4">
      <w:pPr>
        <w:spacing w:after="0" w:line="240" w:lineRule="auto"/>
        <w:rPr>
          <w:rFonts w:ascii="Times New Roman" w:hAnsi="Times New Roman" w:cs="Times New Roman"/>
          <w:b/>
          <w:sz w:val="24"/>
          <w:szCs w:val="24"/>
        </w:rPr>
      </w:pPr>
    </w:p>
    <w:p w:rsidR="005668B9" w:rsidRPr="009443DA" w:rsidRDefault="005668B9" w:rsidP="005668B9">
      <w:p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Due to process changes by NSF, Sponsored Programs Accounting will no longer transfer funds for the full amount of the award into the account.  Instead, funds will be requested from NSF based upon the expenditures of the account on a monthly basis.  This is how new accounts will be set up and current accounts have been adjusted accordingly.</w:t>
      </w:r>
    </w:p>
    <w:p w:rsidR="005668B9" w:rsidRPr="009443DA" w:rsidRDefault="005668B9" w:rsidP="005668B9">
      <w:pPr>
        <w:spacing w:after="0" w:line="240" w:lineRule="auto"/>
        <w:rPr>
          <w:rFonts w:ascii="Times New Roman" w:hAnsi="Times New Roman" w:cs="Times New Roman"/>
          <w:sz w:val="24"/>
          <w:szCs w:val="24"/>
        </w:rPr>
      </w:pPr>
    </w:p>
    <w:p w:rsidR="006752C4" w:rsidRDefault="005668B9" w:rsidP="00EF7806">
      <w:p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 xml:space="preserve">Please note that this process change will not result in any changes to your award.  The only difference </w:t>
      </w:r>
      <w:proofErr w:type="gramStart"/>
      <w:r w:rsidRPr="009443DA">
        <w:rPr>
          <w:rFonts w:ascii="Times New Roman" w:hAnsi="Times New Roman" w:cs="Times New Roman"/>
          <w:sz w:val="24"/>
          <w:szCs w:val="24"/>
        </w:rPr>
        <w:t>is  that</w:t>
      </w:r>
      <w:proofErr w:type="gramEnd"/>
      <w:r w:rsidRPr="009443DA">
        <w:rPr>
          <w:rFonts w:ascii="Times New Roman" w:hAnsi="Times New Roman" w:cs="Times New Roman"/>
          <w:sz w:val="24"/>
          <w:szCs w:val="24"/>
        </w:rPr>
        <w:t xml:space="preserve"> you will need to refer to your Sponsored Programs Financial Report (in WebFM or e-Reports) to view the unspent balance of your award.  The cash balance in WebFM will no longer reflect the unspent balance.  NSF accounts are cost reimbursable awards and will now appear in WebFM as all other cost reimbursable awards currently do.</w:t>
      </w:r>
    </w:p>
    <w:p w:rsidR="006752C4" w:rsidRDefault="006752C4" w:rsidP="00EF7806">
      <w:pPr>
        <w:spacing w:after="0" w:line="240" w:lineRule="auto"/>
        <w:rPr>
          <w:rFonts w:ascii="Times New Roman" w:hAnsi="Times New Roman" w:cs="Times New Roman"/>
          <w:sz w:val="24"/>
          <w:szCs w:val="24"/>
        </w:rPr>
      </w:pPr>
    </w:p>
    <w:p w:rsidR="00280299" w:rsidRPr="00280299" w:rsidRDefault="00280299" w:rsidP="00280299">
      <w:pPr>
        <w:spacing w:after="0" w:line="240" w:lineRule="auto"/>
        <w:rPr>
          <w:rFonts w:ascii="Times New Roman" w:hAnsi="Times New Roman" w:cs="Times New Roman"/>
          <w:b/>
          <w:sz w:val="24"/>
          <w:szCs w:val="24"/>
        </w:rPr>
      </w:pPr>
      <w:r w:rsidRPr="00280299">
        <w:rPr>
          <w:rFonts w:ascii="Times New Roman" w:hAnsi="Times New Roman" w:cs="Times New Roman"/>
          <w:b/>
          <w:sz w:val="24"/>
          <w:szCs w:val="24"/>
        </w:rPr>
        <w:t>UNIVERSITY-WIDE CUSTOM REPORT IN EDATA</w:t>
      </w:r>
    </w:p>
    <w:p w:rsidR="00280299" w:rsidRDefault="00280299" w:rsidP="00280299">
      <w:pPr>
        <w:spacing w:after="0" w:line="240" w:lineRule="auto"/>
        <w:rPr>
          <w:rFonts w:ascii="Times New Roman" w:hAnsi="Times New Roman" w:cs="Times New Roman"/>
          <w:b/>
          <w:sz w:val="24"/>
          <w:szCs w:val="24"/>
          <w:u w:val="single"/>
        </w:rPr>
      </w:pPr>
    </w:p>
    <w:p w:rsidR="00280299" w:rsidRPr="00957430" w:rsidRDefault="00280299" w:rsidP="002802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reports can be found in eData under Public Folders </w:t>
      </w:r>
      <w:r w:rsidRPr="00957430">
        <w:rPr>
          <w:rFonts w:ascii="Times New Roman" w:hAnsi="Times New Roman" w:cs="Times New Roman"/>
          <w:sz w:val="24"/>
          <w:szCs w:val="24"/>
        </w:rPr>
        <w:sym w:font="Wingdings" w:char="F0E0"/>
      </w:r>
      <w:r>
        <w:rPr>
          <w:rFonts w:ascii="Times New Roman" w:hAnsi="Times New Roman" w:cs="Times New Roman"/>
          <w:sz w:val="24"/>
          <w:szCs w:val="24"/>
        </w:rPr>
        <w:t xml:space="preserve"> Custom Reports </w:t>
      </w:r>
      <w:r w:rsidRPr="00957430">
        <w:rPr>
          <w:rFonts w:ascii="Times New Roman" w:hAnsi="Times New Roman" w:cs="Times New Roman"/>
          <w:sz w:val="24"/>
          <w:szCs w:val="24"/>
        </w:rPr>
        <w:sym w:font="Wingdings" w:char="F0E0"/>
      </w:r>
      <w:r>
        <w:rPr>
          <w:rFonts w:ascii="Times New Roman" w:hAnsi="Times New Roman" w:cs="Times New Roman"/>
          <w:sz w:val="24"/>
          <w:szCs w:val="24"/>
        </w:rPr>
        <w:t xml:space="preserve"> University Wide.</w:t>
      </w:r>
    </w:p>
    <w:p w:rsidR="00280299" w:rsidRDefault="00280299" w:rsidP="00280299">
      <w:pPr>
        <w:spacing w:after="0" w:line="240" w:lineRule="auto"/>
        <w:rPr>
          <w:rFonts w:ascii="Times New Roman" w:hAnsi="Times New Roman" w:cs="Times New Roman"/>
          <w:sz w:val="24"/>
          <w:szCs w:val="24"/>
        </w:rPr>
      </w:pPr>
    </w:p>
    <w:p w:rsidR="00280299" w:rsidRPr="009A503F" w:rsidRDefault="00280299" w:rsidP="00280299">
      <w:pPr>
        <w:spacing w:after="0" w:line="240" w:lineRule="auto"/>
        <w:rPr>
          <w:rFonts w:ascii="Times New Roman" w:hAnsi="Times New Roman" w:cs="Times New Roman"/>
          <w:sz w:val="24"/>
          <w:szCs w:val="24"/>
        </w:rPr>
      </w:pPr>
      <w:r w:rsidRPr="009A503F">
        <w:rPr>
          <w:rFonts w:ascii="Times New Roman" w:hAnsi="Times New Roman" w:cs="Times New Roman"/>
          <w:sz w:val="24"/>
          <w:szCs w:val="24"/>
          <w:u w:val="single"/>
        </w:rPr>
        <w:t>CAC Reports</w:t>
      </w:r>
      <w:r w:rsidRPr="009A503F">
        <w:rPr>
          <w:rFonts w:ascii="Times New Roman" w:hAnsi="Times New Roman" w:cs="Times New Roman"/>
          <w:sz w:val="24"/>
          <w:szCs w:val="24"/>
        </w:rPr>
        <w:t>:</w:t>
      </w:r>
      <w:r>
        <w:rPr>
          <w:rFonts w:ascii="Times New Roman" w:hAnsi="Times New Roman" w:cs="Times New Roman"/>
          <w:sz w:val="24"/>
          <w:szCs w:val="24"/>
        </w:rPr>
        <w:t xml:space="preserve">  These reports provide a summary of activity by allocation/expenditure or revenue/expense for computer fee accounts (Sub Fund Group = Computer Fees).</w:t>
      </w:r>
    </w:p>
    <w:p w:rsidR="00280299" w:rsidRDefault="00280299" w:rsidP="00280299">
      <w:pPr>
        <w:spacing w:after="0" w:line="240" w:lineRule="auto"/>
        <w:rPr>
          <w:rFonts w:ascii="Times New Roman" w:hAnsi="Times New Roman" w:cs="Times New Roman"/>
          <w:sz w:val="24"/>
          <w:szCs w:val="24"/>
          <w:u w:val="single"/>
        </w:rPr>
      </w:pPr>
    </w:p>
    <w:p w:rsidR="00280299" w:rsidRPr="009A503F" w:rsidRDefault="00280299" w:rsidP="00280299">
      <w:pPr>
        <w:spacing w:after="0" w:line="240" w:lineRule="auto"/>
        <w:rPr>
          <w:rFonts w:ascii="Times New Roman" w:hAnsi="Times New Roman" w:cs="Times New Roman"/>
          <w:sz w:val="24"/>
          <w:szCs w:val="24"/>
          <w:u w:val="single"/>
        </w:rPr>
      </w:pPr>
      <w:r w:rsidRPr="009A503F">
        <w:rPr>
          <w:rFonts w:ascii="Times New Roman" w:hAnsi="Times New Roman" w:cs="Times New Roman"/>
          <w:sz w:val="24"/>
          <w:szCs w:val="24"/>
          <w:u w:val="single"/>
        </w:rPr>
        <w:lastRenderedPageBreak/>
        <w:t>Excel Data Downloads:</w:t>
      </w:r>
    </w:p>
    <w:p w:rsidR="00280299" w:rsidRPr="009A503F" w:rsidRDefault="00280299" w:rsidP="00280299">
      <w:pPr>
        <w:spacing w:after="0" w:line="240" w:lineRule="auto"/>
        <w:rPr>
          <w:rFonts w:ascii="Times New Roman" w:hAnsi="Times New Roman" w:cs="Times New Roman"/>
          <w:sz w:val="24"/>
          <w:szCs w:val="24"/>
        </w:rPr>
      </w:pPr>
      <w:r w:rsidRPr="009A503F">
        <w:rPr>
          <w:rFonts w:ascii="Times New Roman" w:hAnsi="Times New Roman" w:cs="Times New Roman"/>
          <w:sz w:val="24"/>
          <w:szCs w:val="24"/>
        </w:rPr>
        <w:t xml:space="preserve">The Excel Data Dumps are data downloads that </w:t>
      </w:r>
      <w:r>
        <w:rPr>
          <w:rFonts w:ascii="Times New Roman" w:hAnsi="Times New Roman" w:cs="Times New Roman"/>
          <w:sz w:val="24"/>
          <w:szCs w:val="24"/>
        </w:rPr>
        <w:t>can</w:t>
      </w:r>
      <w:r w:rsidRPr="009A503F">
        <w:rPr>
          <w:rFonts w:ascii="Times New Roman" w:hAnsi="Times New Roman" w:cs="Times New Roman"/>
          <w:sz w:val="24"/>
          <w:szCs w:val="24"/>
        </w:rPr>
        <w:t xml:space="preserve"> be used with </w:t>
      </w:r>
      <w:r>
        <w:rPr>
          <w:rFonts w:ascii="Times New Roman" w:hAnsi="Times New Roman" w:cs="Times New Roman"/>
          <w:sz w:val="24"/>
          <w:szCs w:val="24"/>
        </w:rPr>
        <w:t>the</w:t>
      </w:r>
      <w:r w:rsidRPr="009A503F">
        <w:rPr>
          <w:rFonts w:ascii="Times New Roman" w:hAnsi="Times New Roman" w:cs="Times New Roman"/>
          <w:sz w:val="24"/>
          <w:szCs w:val="24"/>
        </w:rPr>
        <w:t xml:space="preserve"> </w:t>
      </w:r>
      <w:proofErr w:type="spellStart"/>
      <w:r w:rsidRPr="009A503F">
        <w:rPr>
          <w:rFonts w:ascii="Times New Roman" w:hAnsi="Times New Roman" w:cs="Times New Roman"/>
          <w:sz w:val="24"/>
          <w:szCs w:val="24"/>
        </w:rPr>
        <w:t>Vlookup</w:t>
      </w:r>
      <w:proofErr w:type="spellEnd"/>
      <w:r w:rsidRPr="009A503F">
        <w:rPr>
          <w:rFonts w:ascii="Times New Roman" w:hAnsi="Times New Roman" w:cs="Times New Roman"/>
          <w:sz w:val="24"/>
          <w:szCs w:val="24"/>
        </w:rPr>
        <w:t xml:space="preserve"> </w:t>
      </w:r>
      <w:r>
        <w:rPr>
          <w:rFonts w:ascii="Times New Roman" w:hAnsi="Times New Roman" w:cs="Times New Roman"/>
          <w:sz w:val="24"/>
          <w:szCs w:val="24"/>
        </w:rPr>
        <w:t xml:space="preserve">function in Excel on </w:t>
      </w:r>
      <w:r w:rsidRPr="009A503F">
        <w:rPr>
          <w:rFonts w:ascii="Times New Roman" w:hAnsi="Times New Roman" w:cs="Times New Roman"/>
          <w:sz w:val="24"/>
          <w:szCs w:val="24"/>
        </w:rPr>
        <w:t>report</w:t>
      </w:r>
      <w:r>
        <w:rPr>
          <w:rFonts w:ascii="Times New Roman" w:hAnsi="Times New Roman" w:cs="Times New Roman"/>
          <w:sz w:val="24"/>
          <w:szCs w:val="24"/>
        </w:rPr>
        <w:t>s</w:t>
      </w:r>
      <w:r w:rsidRPr="009A503F">
        <w:rPr>
          <w:rFonts w:ascii="Times New Roman" w:hAnsi="Times New Roman" w:cs="Times New Roman"/>
          <w:sz w:val="24"/>
          <w:szCs w:val="24"/>
        </w:rPr>
        <w:t xml:space="preserve"> </w:t>
      </w:r>
      <w:r>
        <w:rPr>
          <w:rFonts w:ascii="Times New Roman" w:hAnsi="Times New Roman" w:cs="Times New Roman"/>
          <w:sz w:val="24"/>
          <w:szCs w:val="24"/>
        </w:rPr>
        <w:t>that have already been created and</w:t>
      </w:r>
      <w:r w:rsidRPr="009A503F">
        <w:rPr>
          <w:rFonts w:ascii="Times New Roman" w:hAnsi="Times New Roman" w:cs="Times New Roman"/>
          <w:sz w:val="24"/>
          <w:szCs w:val="24"/>
        </w:rPr>
        <w:t xml:space="preserve"> where you want to keep the existing format of the report.</w:t>
      </w:r>
      <w:r>
        <w:rPr>
          <w:rFonts w:ascii="Times New Roman" w:hAnsi="Times New Roman" w:cs="Times New Roman"/>
          <w:sz w:val="24"/>
          <w:szCs w:val="24"/>
        </w:rPr>
        <w:t xml:space="preserve"> </w:t>
      </w:r>
      <w:r w:rsidRPr="009A503F">
        <w:rPr>
          <w:rFonts w:ascii="Times New Roman" w:hAnsi="Times New Roman" w:cs="Times New Roman"/>
          <w:sz w:val="24"/>
          <w:szCs w:val="24"/>
        </w:rPr>
        <w:t>These reports have several calculated fields similar to th</w:t>
      </w:r>
      <w:r>
        <w:rPr>
          <w:rFonts w:ascii="Times New Roman" w:hAnsi="Times New Roman" w:cs="Times New Roman"/>
          <w:sz w:val="24"/>
          <w:szCs w:val="24"/>
        </w:rPr>
        <w:t xml:space="preserve">e calculations used in Hyperion including: Accounts Summary, Object by Account, Object by Sub Account, and Sub Account Summary. </w:t>
      </w:r>
    </w:p>
    <w:p w:rsidR="00280299" w:rsidRDefault="00280299" w:rsidP="00280299">
      <w:pPr>
        <w:spacing w:after="0" w:line="240" w:lineRule="auto"/>
        <w:rPr>
          <w:rFonts w:ascii="Times New Roman" w:hAnsi="Times New Roman" w:cs="Times New Roman"/>
          <w:sz w:val="24"/>
          <w:szCs w:val="24"/>
          <w:u w:val="single"/>
        </w:rPr>
      </w:pPr>
    </w:p>
    <w:p w:rsidR="00280299" w:rsidRDefault="00280299" w:rsidP="00280299">
      <w:pPr>
        <w:spacing w:after="0" w:line="240" w:lineRule="auto"/>
        <w:rPr>
          <w:rFonts w:ascii="Times New Roman" w:hAnsi="Times New Roman" w:cs="Times New Roman"/>
          <w:sz w:val="24"/>
          <w:szCs w:val="24"/>
        </w:rPr>
      </w:pPr>
      <w:r w:rsidRPr="009A503F">
        <w:rPr>
          <w:rFonts w:ascii="Times New Roman" w:hAnsi="Times New Roman" w:cs="Times New Roman"/>
          <w:sz w:val="24"/>
          <w:szCs w:val="24"/>
          <w:u w:val="single"/>
        </w:rPr>
        <w:t>Facilities &amp; Admin Reports</w:t>
      </w:r>
      <w:proofErr w:type="gramStart"/>
      <w:r w:rsidRPr="009A503F">
        <w:rPr>
          <w:rFonts w:ascii="Times New Roman" w:hAnsi="Times New Roman" w:cs="Times New Roman"/>
          <w:sz w:val="24"/>
          <w:szCs w:val="24"/>
          <w:u w:val="single"/>
        </w:rPr>
        <w:t>:</w:t>
      </w:r>
      <w:proofErr w:type="gramEnd"/>
      <w:r w:rsidRPr="009A503F">
        <w:rPr>
          <w:rFonts w:ascii="Times New Roman" w:hAnsi="Times New Roman" w:cs="Times New Roman"/>
          <w:sz w:val="24"/>
          <w:szCs w:val="24"/>
          <w:u w:val="single"/>
        </w:rPr>
        <w:br/>
      </w:r>
      <w:r>
        <w:rPr>
          <w:rFonts w:ascii="Times New Roman" w:hAnsi="Times New Roman" w:cs="Times New Roman"/>
          <w:sz w:val="24"/>
          <w:szCs w:val="24"/>
        </w:rPr>
        <w:t xml:space="preserve">These reports provide more in-depth analysis of how the indirect cost (IDC) is distributed.  The breakout of the IDC distribution is as follows: </w:t>
      </w:r>
      <w:r w:rsidRPr="009A503F">
        <w:rPr>
          <w:rFonts w:ascii="Times New Roman" w:hAnsi="Times New Roman" w:cs="Times New Roman"/>
          <w:sz w:val="24"/>
          <w:szCs w:val="24"/>
        </w:rPr>
        <w:t>PI Incentive (15%)</w:t>
      </w:r>
      <w:r>
        <w:rPr>
          <w:rFonts w:ascii="Times New Roman" w:hAnsi="Times New Roman" w:cs="Times New Roman"/>
          <w:sz w:val="24"/>
          <w:szCs w:val="24"/>
        </w:rPr>
        <w:t xml:space="preserve">, </w:t>
      </w:r>
      <w:r w:rsidRPr="009A503F">
        <w:rPr>
          <w:rFonts w:ascii="Times New Roman" w:hAnsi="Times New Roman" w:cs="Times New Roman"/>
          <w:sz w:val="24"/>
          <w:szCs w:val="24"/>
        </w:rPr>
        <w:t>Grant Administration (10%)</w:t>
      </w:r>
      <w:r>
        <w:rPr>
          <w:rFonts w:ascii="Times New Roman" w:hAnsi="Times New Roman" w:cs="Times New Roman"/>
          <w:sz w:val="24"/>
          <w:szCs w:val="24"/>
        </w:rPr>
        <w:t xml:space="preserve">, </w:t>
      </w:r>
      <w:r w:rsidRPr="009A503F">
        <w:rPr>
          <w:rFonts w:ascii="Times New Roman" w:hAnsi="Times New Roman" w:cs="Times New Roman"/>
          <w:sz w:val="24"/>
          <w:szCs w:val="24"/>
        </w:rPr>
        <w:t>Research F&amp;A (45%)</w:t>
      </w:r>
      <w:r>
        <w:rPr>
          <w:rFonts w:ascii="Times New Roman" w:hAnsi="Times New Roman" w:cs="Times New Roman"/>
          <w:sz w:val="24"/>
          <w:szCs w:val="24"/>
        </w:rPr>
        <w:t xml:space="preserve">, </w:t>
      </w:r>
      <w:r w:rsidRPr="009A503F">
        <w:rPr>
          <w:rFonts w:ascii="Times New Roman" w:hAnsi="Times New Roman" w:cs="Times New Roman"/>
          <w:sz w:val="24"/>
          <w:szCs w:val="24"/>
        </w:rPr>
        <w:t>Use of Facilities (20%)</w:t>
      </w:r>
      <w:r>
        <w:rPr>
          <w:rFonts w:ascii="Times New Roman" w:hAnsi="Times New Roman" w:cs="Times New Roman"/>
          <w:sz w:val="24"/>
          <w:szCs w:val="24"/>
        </w:rPr>
        <w:t xml:space="preserve">, and </w:t>
      </w:r>
      <w:r w:rsidRPr="009A503F">
        <w:rPr>
          <w:rFonts w:ascii="Times New Roman" w:hAnsi="Times New Roman" w:cs="Times New Roman"/>
          <w:sz w:val="24"/>
          <w:szCs w:val="24"/>
        </w:rPr>
        <w:t>Interdisciplinary Research Support (10%)</w:t>
      </w:r>
      <w:r>
        <w:rPr>
          <w:rFonts w:ascii="Times New Roman" w:hAnsi="Times New Roman" w:cs="Times New Roman"/>
          <w:sz w:val="24"/>
          <w:szCs w:val="24"/>
        </w:rPr>
        <w:t>.</w:t>
      </w:r>
    </w:p>
    <w:p w:rsidR="00280299" w:rsidRDefault="00280299" w:rsidP="00280299">
      <w:pPr>
        <w:spacing w:after="0" w:line="240" w:lineRule="auto"/>
        <w:rPr>
          <w:rFonts w:ascii="Times New Roman" w:hAnsi="Times New Roman" w:cs="Times New Roman"/>
          <w:sz w:val="24"/>
          <w:szCs w:val="24"/>
        </w:rPr>
      </w:pPr>
    </w:p>
    <w:p w:rsidR="00280299" w:rsidRPr="00957430" w:rsidRDefault="00280299" w:rsidP="0028029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O</w:t>
      </w:r>
      <w:r w:rsidRPr="009A503F">
        <w:rPr>
          <w:rFonts w:ascii="Times New Roman" w:hAnsi="Times New Roman" w:cs="Times New Roman"/>
          <w:sz w:val="24"/>
          <w:szCs w:val="24"/>
          <w:u w:val="single"/>
        </w:rPr>
        <w:t>ther Reports:</w:t>
      </w:r>
    </w:p>
    <w:p w:rsidR="00280299" w:rsidRPr="009A503F" w:rsidRDefault="00280299" w:rsidP="00280299">
      <w:pPr>
        <w:pStyle w:val="ListParagraph"/>
        <w:numPr>
          <w:ilvl w:val="0"/>
          <w:numId w:val="3"/>
        </w:numPr>
        <w:spacing w:after="0" w:line="240" w:lineRule="auto"/>
        <w:rPr>
          <w:rFonts w:ascii="Times New Roman" w:eastAsiaTheme="majorEastAsia" w:hAnsi="Times New Roman" w:cs="Times New Roman"/>
          <w:sz w:val="24"/>
          <w:szCs w:val="24"/>
        </w:rPr>
      </w:pPr>
      <w:r w:rsidRPr="009A503F">
        <w:rPr>
          <w:rFonts w:ascii="Times New Roman" w:hAnsi="Times New Roman" w:cs="Times New Roman"/>
          <w:sz w:val="24"/>
          <w:szCs w:val="24"/>
        </w:rPr>
        <w:t xml:space="preserve">Grant and Cost Share Report – </w:t>
      </w:r>
      <w:r w:rsidRPr="009A503F">
        <w:rPr>
          <w:rFonts w:ascii="Times New Roman" w:eastAsiaTheme="majorEastAsia" w:hAnsi="Times New Roman" w:cs="Times New Roman"/>
          <w:sz w:val="24"/>
          <w:szCs w:val="24"/>
        </w:rPr>
        <w:t xml:space="preserve">This is a very specific cost share report, designed to show </w:t>
      </w:r>
      <w:r w:rsidRPr="009A503F">
        <w:rPr>
          <w:rFonts w:ascii="Times New Roman" w:hAnsi="Times New Roman" w:cs="Times New Roman"/>
          <w:sz w:val="24"/>
          <w:szCs w:val="24"/>
        </w:rPr>
        <w:t>an overall project total</w:t>
      </w:r>
      <w:r>
        <w:rPr>
          <w:rFonts w:ascii="Times New Roman" w:hAnsi="Times New Roman" w:cs="Times New Roman"/>
          <w:sz w:val="24"/>
          <w:szCs w:val="24"/>
        </w:rPr>
        <w:t xml:space="preserve"> including </w:t>
      </w:r>
      <w:r w:rsidRPr="009A503F">
        <w:rPr>
          <w:rFonts w:ascii="Times New Roman" w:eastAsiaTheme="majorEastAsia" w:hAnsi="Times New Roman" w:cs="Times New Roman"/>
          <w:sz w:val="24"/>
          <w:szCs w:val="24"/>
        </w:rPr>
        <w:t>grant expenses, cost share expen</w:t>
      </w:r>
      <w:r>
        <w:rPr>
          <w:rFonts w:ascii="Times New Roman" w:eastAsiaTheme="majorEastAsia" w:hAnsi="Times New Roman" w:cs="Times New Roman"/>
          <w:sz w:val="24"/>
          <w:szCs w:val="24"/>
        </w:rPr>
        <w:t>ses, and total program expenses</w:t>
      </w:r>
      <w:r w:rsidRPr="009A503F">
        <w:rPr>
          <w:rFonts w:ascii="Times New Roman" w:hAnsi="Times New Roman" w:cs="Times New Roman"/>
          <w:sz w:val="24"/>
          <w:szCs w:val="24"/>
        </w:rPr>
        <w:t xml:space="preserve">. This report </w:t>
      </w:r>
      <w:r>
        <w:rPr>
          <w:rFonts w:ascii="Times New Roman" w:hAnsi="Times New Roman" w:cs="Times New Roman"/>
          <w:sz w:val="24"/>
          <w:szCs w:val="24"/>
        </w:rPr>
        <w:t>should</w:t>
      </w:r>
      <w:r w:rsidRPr="009A503F">
        <w:rPr>
          <w:rFonts w:ascii="Times New Roman" w:hAnsi="Times New Roman" w:cs="Times New Roman"/>
          <w:sz w:val="24"/>
          <w:szCs w:val="24"/>
        </w:rPr>
        <w:t xml:space="preserve"> ONLY</w:t>
      </w:r>
      <w:r w:rsidRPr="009A503F">
        <w:rPr>
          <w:rFonts w:ascii="Times New Roman" w:eastAsiaTheme="majorEastAsia" w:hAnsi="Times New Roman" w:cs="Times New Roman"/>
          <w:sz w:val="24"/>
          <w:szCs w:val="24"/>
        </w:rPr>
        <w:t xml:space="preserve"> </w:t>
      </w:r>
      <w:r w:rsidR="002A3E46">
        <w:rPr>
          <w:rFonts w:ascii="Times New Roman" w:eastAsiaTheme="majorEastAsia" w:hAnsi="Times New Roman" w:cs="Times New Roman"/>
          <w:sz w:val="24"/>
          <w:szCs w:val="24"/>
        </w:rPr>
        <w:t xml:space="preserve">be used </w:t>
      </w:r>
      <w:r>
        <w:rPr>
          <w:rFonts w:ascii="Times New Roman" w:eastAsiaTheme="majorEastAsia" w:hAnsi="Times New Roman" w:cs="Times New Roman"/>
          <w:sz w:val="24"/>
          <w:szCs w:val="24"/>
        </w:rPr>
        <w:t>in instances where</w:t>
      </w:r>
      <w:r w:rsidRPr="009A503F">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the total expenses on an account (i.e.: industry match account) will be used as</w:t>
      </w:r>
      <w:r w:rsidRPr="009A503F">
        <w:rPr>
          <w:rFonts w:ascii="Times New Roman" w:eastAsiaTheme="majorEastAsia" w:hAnsi="Times New Roman" w:cs="Times New Roman"/>
          <w:sz w:val="24"/>
          <w:szCs w:val="24"/>
        </w:rPr>
        <w:t xml:space="preserve"> cost</w:t>
      </w:r>
      <w:r w:rsidR="002A3E46">
        <w:rPr>
          <w:rFonts w:ascii="Times New Roman" w:eastAsiaTheme="majorEastAsia" w:hAnsi="Times New Roman" w:cs="Times New Roman"/>
          <w:sz w:val="24"/>
          <w:szCs w:val="24"/>
        </w:rPr>
        <w:t xml:space="preserve"> share</w:t>
      </w:r>
      <w:r w:rsidRPr="009A503F">
        <w:rPr>
          <w:rFonts w:ascii="Times New Roman" w:eastAsiaTheme="majorEastAsia" w:hAnsi="Times New Roman" w:cs="Times New Roman"/>
          <w:sz w:val="24"/>
          <w:szCs w:val="24"/>
        </w:rPr>
        <w:t xml:space="preserve">.  This report </w:t>
      </w:r>
      <w:r w:rsidRPr="009A503F">
        <w:rPr>
          <w:rFonts w:ascii="Times New Roman" w:hAnsi="Times New Roman" w:cs="Times New Roman"/>
          <w:sz w:val="24"/>
          <w:szCs w:val="24"/>
        </w:rPr>
        <w:t xml:space="preserve">does NOT include EASE information.   </w:t>
      </w:r>
    </w:p>
    <w:p w:rsidR="00280299" w:rsidRPr="009A503F" w:rsidRDefault="00280299" w:rsidP="00280299">
      <w:pPr>
        <w:pStyle w:val="ListParagraph"/>
        <w:numPr>
          <w:ilvl w:val="0"/>
          <w:numId w:val="3"/>
        </w:numPr>
        <w:spacing w:after="0" w:line="240" w:lineRule="auto"/>
        <w:rPr>
          <w:rFonts w:ascii="Times New Roman" w:hAnsi="Times New Roman" w:cs="Times New Roman"/>
          <w:sz w:val="24"/>
          <w:szCs w:val="24"/>
        </w:rPr>
      </w:pPr>
      <w:r w:rsidRPr="009A503F">
        <w:rPr>
          <w:rFonts w:ascii="Times New Roman" w:hAnsi="Times New Roman" w:cs="Times New Roman"/>
          <w:sz w:val="24"/>
          <w:szCs w:val="24"/>
        </w:rPr>
        <w:t>Import File – GEC – This report can be used when you want to do a GEC (General Error Correction) with a large number of transactions by using the impor</w:t>
      </w:r>
      <w:r>
        <w:rPr>
          <w:rFonts w:ascii="Times New Roman" w:hAnsi="Times New Roman" w:cs="Times New Roman"/>
          <w:sz w:val="24"/>
          <w:szCs w:val="24"/>
        </w:rPr>
        <w:t>t feature on the GEC document.</w:t>
      </w:r>
    </w:p>
    <w:p w:rsidR="00280299" w:rsidRPr="009A503F" w:rsidRDefault="00280299" w:rsidP="00280299">
      <w:pPr>
        <w:pStyle w:val="ListParagraph"/>
        <w:numPr>
          <w:ilvl w:val="0"/>
          <w:numId w:val="3"/>
        </w:numPr>
        <w:spacing w:after="0" w:line="240" w:lineRule="auto"/>
        <w:rPr>
          <w:rFonts w:ascii="Times New Roman" w:hAnsi="Times New Roman" w:cs="Times New Roman"/>
          <w:sz w:val="24"/>
          <w:szCs w:val="24"/>
        </w:rPr>
      </w:pPr>
      <w:r w:rsidRPr="009A503F">
        <w:rPr>
          <w:rFonts w:ascii="Times New Roman" w:hAnsi="Times New Roman" w:cs="Times New Roman"/>
          <w:sz w:val="24"/>
          <w:szCs w:val="24"/>
        </w:rPr>
        <w:t>Labor Object by Account Report</w:t>
      </w:r>
      <w:r>
        <w:rPr>
          <w:rFonts w:ascii="Times New Roman" w:hAnsi="Times New Roman" w:cs="Times New Roman"/>
          <w:sz w:val="24"/>
          <w:szCs w:val="24"/>
        </w:rPr>
        <w:t xml:space="preserve"> – summarizes labor transactions by Object Level or Object</w:t>
      </w:r>
    </w:p>
    <w:p w:rsidR="00280299" w:rsidRPr="009A503F" w:rsidRDefault="00280299" w:rsidP="00280299">
      <w:pPr>
        <w:pStyle w:val="ListParagraph"/>
        <w:numPr>
          <w:ilvl w:val="0"/>
          <w:numId w:val="3"/>
        </w:numPr>
        <w:spacing w:after="0" w:line="240" w:lineRule="auto"/>
        <w:rPr>
          <w:rFonts w:ascii="Times New Roman" w:hAnsi="Times New Roman" w:cs="Times New Roman"/>
          <w:sz w:val="24"/>
          <w:szCs w:val="24"/>
        </w:rPr>
      </w:pPr>
      <w:r w:rsidRPr="009A503F">
        <w:rPr>
          <w:rFonts w:ascii="Times New Roman" w:hAnsi="Times New Roman" w:cs="Times New Roman"/>
          <w:sz w:val="24"/>
          <w:szCs w:val="24"/>
        </w:rPr>
        <w:t>Object By Account Report</w:t>
      </w:r>
      <w:r>
        <w:rPr>
          <w:rFonts w:ascii="Times New Roman" w:hAnsi="Times New Roman" w:cs="Times New Roman"/>
          <w:sz w:val="24"/>
          <w:szCs w:val="24"/>
        </w:rPr>
        <w:t xml:space="preserve"> – summarizes transactions by Object Level, Object, and Sub Object</w:t>
      </w:r>
    </w:p>
    <w:p w:rsidR="00280299" w:rsidRDefault="00280299" w:rsidP="00280299">
      <w:pPr>
        <w:spacing w:after="0" w:line="240" w:lineRule="auto"/>
        <w:rPr>
          <w:rFonts w:ascii="Times New Roman" w:hAnsi="Times New Roman" w:cs="Times New Roman"/>
          <w:sz w:val="24"/>
          <w:szCs w:val="24"/>
        </w:rPr>
      </w:pPr>
    </w:p>
    <w:p w:rsidR="002B5A3E" w:rsidRPr="00280299" w:rsidRDefault="00280299" w:rsidP="00EF78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report will have </w:t>
      </w:r>
      <w:proofErr w:type="gramStart"/>
      <w:r>
        <w:rPr>
          <w:rFonts w:ascii="Times New Roman" w:hAnsi="Times New Roman" w:cs="Times New Roman"/>
          <w:sz w:val="24"/>
          <w:szCs w:val="24"/>
        </w:rPr>
        <w:t>a footer</w:t>
      </w:r>
      <w:proofErr w:type="gramEnd"/>
      <w:r>
        <w:rPr>
          <w:rFonts w:ascii="Times New Roman" w:hAnsi="Times New Roman" w:cs="Times New Roman"/>
          <w:sz w:val="24"/>
          <w:szCs w:val="24"/>
        </w:rPr>
        <w:t xml:space="preserve"> at the bottom which gives a brief description of the report.  In addition, an advanced training session will be held later on to go over reports that were not covered in the basic eData training.</w:t>
      </w:r>
    </w:p>
    <w:p w:rsidR="009443DA" w:rsidRPr="009443DA" w:rsidRDefault="009443DA" w:rsidP="00EF7806">
      <w:pPr>
        <w:spacing w:after="0" w:line="240" w:lineRule="auto"/>
        <w:rPr>
          <w:rFonts w:ascii="Times New Roman" w:hAnsi="Times New Roman" w:cs="Times New Roman"/>
          <w:b/>
          <w:sz w:val="24"/>
          <w:szCs w:val="24"/>
        </w:rPr>
      </w:pPr>
    </w:p>
    <w:p w:rsidR="009443DA" w:rsidRPr="009443DA" w:rsidRDefault="009443DA" w:rsidP="009443DA">
      <w:pPr>
        <w:spacing w:after="0" w:line="240" w:lineRule="auto"/>
        <w:rPr>
          <w:rFonts w:ascii="Times New Roman" w:eastAsia="Times New Roman" w:hAnsi="Times New Roman" w:cs="Times New Roman"/>
          <w:b/>
          <w:sz w:val="24"/>
          <w:szCs w:val="24"/>
        </w:rPr>
      </w:pPr>
      <w:r w:rsidRPr="009443DA">
        <w:rPr>
          <w:rFonts w:ascii="Times New Roman" w:eastAsia="Times New Roman" w:hAnsi="Times New Roman" w:cs="Times New Roman"/>
          <w:b/>
          <w:sz w:val="24"/>
          <w:szCs w:val="24"/>
        </w:rPr>
        <w:t>LEGACY AND KFS – INDIRECT COSTS AND REMOVAL OF IDC CAP</w:t>
      </w:r>
    </w:p>
    <w:p w:rsidR="009443DA" w:rsidRPr="009443DA" w:rsidRDefault="009443DA" w:rsidP="009443DA">
      <w:pPr>
        <w:spacing w:after="0" w:line="240" w:lineRule="auto"/>
        <w:rPr>
          <w:rFonts w:ascii="Times New Roman" w:eastAsia="Times New Roman" w:hAnsi="Times New Roman" w:cs="Times New Roman"/>
          <w:b/>
          <w:sz w:val="24"/>
          <w:szCs w:val="24"/>
        </w:rPr>
      </w:pPr>
    </w:p>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The current legacy accounting system posts indirect costs (IDC) at the end of each month as part of the month end closing process.  June is an exception where the legacy system has two postings of indirect costs before fiscal year end close.  A 400-478 account can have more than one IDC rate in legacy.  When IDC is calculated by the legacy system, the posted amount is truncated (e.g. a monthly IDC calculated amount of $100.5555 posts as $100.55).</w:t>
      </w:r>
    </w:p>
    <w:p w:rsidR="009443DA" w:rsidRPr="009443DA" w:rsidRDefault="009443DA" w:rsidP="009443DA">
      <w:pPr>
        <w:spacing w:after="0" w:line="240" w:lineRule="auto"/>
        <w:rPr>
          <w:rFonts w:ascii="Times New Roman" w:eastAsia="Times New Roman" w:hAnsi="Times New Roman" w:cs="Times New Roman"/>
          <w:sz w:val="24"/>
          <w:szCs w:val="24"/>
        </w:rPr>
      </w:pPr>
    </w:p>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The legacy system “caps” indirect costs, which means that indirect costs will only be charged up to the amount budgeted for indirect costs.</w:t>
      </w:r>
    </w:p>
    <w:p w:rsidR="009443DA" w:rsidRPr="009443DA" w:rsidRDefault="009443DA" w:rsidP="009443DA">
      <w:pPr>
        <w:spacing w:after="0" w:line="240" w:lineRule="auto"/>
        <w:rPr>
          <w:rFonts w:ascii="Times New Roman" w:eastAsia="Times New Roman" w:hAnsi="Times New Roman" w:cs="Times New Roman"/>
          <w:sz w:val="24"/>
          <w:szCs w:val="24"/>
        </w:rPr>
      </w:pPr>
    </w:p>
    <w:p w:rsidR="009443DA" w:rsidRPr="009443DA" w:rsidRDefault="009443DA" w:rsidP="009443DA">
      <w:pPr>
        <w:spacing w:after="0" w:line="240" w:lineRule="auto"/>
        <w:rPr>
          <w:rFonts w:ascii="Times New Roman" w:eastAsia="Times New Roman" w:hAnsi="Times New Roman" w:cs="Times New Roman"/>
          <w:sz w:val="24"/>
          <w:szCs w:val="24"/>
        </w:rPr>
      </w:pPr>
      <w:proofErr w:type="spellStart"/>
      <w:r w:rsidRPr="009443DA">
        <w:rPr>
          <w:rFonts w:ascii="Times New Roman" w:eastAsia="Times New Roman" w:hAnsi="Times New Roman" w:cs="Times New Roman"/>
          <w:sz w:val="24"/>
          <w:szCs w:val="24"/>
        </w:rPr>
        <w:t>Kuali</w:t>
      </w:r>
      <w:proofErr w:type="spellEnd"/>
      <w:r w:rsidRPr="009443DA">
        <w:rPr>
          <w:rFonts w:ascii="Times New Roman" w:eastAsia="Times New Roman" w:hAnsi="Times New Roman" w:cs="Times New Roman"/>
          <w:sz w:val="24"/>
          <w:szCs w:val="24"/>
        </w:rPr>
        <w:t xml:space="preserve"> Financial Systems (KFS) will replace the legacy accounting system starting in July of 2013.  In KFS, the indirect costs object code is 0631 and the KFS doc type for indirect costs transactions is ICR (Indirect Cost Recovery).  With KFS, indirect costs will post with every direct cost transaction that is subject to indirect costs.  For example, if two supplies transactions post on one day, then two IDC transactions will also post on that same day.  When IDC is </w:t>
      </w:r>
      <w:r w:rsidRPr="009443DA">
        <w:rPr>
          <w:rFonts w:ascii="Times New Roman" w:eastAsia="Times New Roman" w:hAnsi="Times New Roman" w:cs="Times New Roman"/>
          <w:sz w:val="24"/>
          <w:szCs w:val="24"/>
        </w:rPr>
        <w:lastRenderedPageBreak/>
        <w:t>calculated by KFS, the posted amount is rounded up at .005 (e.g. IDC calculated amount of $100.555 posts as $100.56).</w:t>
      </w:r>
    </w:p>
    <w:p w:rsidR="009443DA" w:rsidRPr="009443DA" w:rsidRDefault="009443DA" w:rsidP="009443DA">
      <w:pPr>
        <w:spacing w:after="0" w:line="240" w:lineRule="auto"/>
        <w:rPr>
          <w:rFonts w:ascii="Times New Roman" w:eastAsia="Times New Roman" w:hAnsi="Times New Roman" w:cs="Times New Roman"/>
          <w:sz w:val="24"/>
          <w:szCs w:val="24"/>
        </w:rPr>
      </w:pPr>
    </w:p>
    <w:p w:rsidR="009443DA" w:rsidRPr="009443DA" w:rsidRDefault="009443DA" w:rsidP="009443DA">
      <w:pPr>
        <w:spacing w:after="0" w:line="240" w:lineRule="auto"/>
        <w:rPr>
          <w:rFonts w:ascii="Times New Roman" w:eastAsia="Calibri" w:hAnsi="Times New Roman" w:cs="Times New Roman"/>
          <w:sz w:val="24"/>
          <w:szCs w:val="24"/>
        </w:rPr>
      </w:pPr>
      <w:r w:rsidRPr="009443DA">
        <w:rPr>
          <w:rFonts w:ascii="Times New Roman" w:eastAsia="Calibri" w:hAnsi="Times New Roman" w:cs="Times New Roman"/>
          <w:sz w:val="24"/>
          <w:szCs w:val="24"/>
        </w:rPr>
        <w:t>In KFS, each account will have only one IDC rate. If there is more than one IDC rate for an award, a new account will need to be set up.  (This is what is already done for many NSF awards, where there is a Main account (48% IDC) and a Participant Support Cost account (0% or 25% IDC).  If the IDC rate changes during the award period, then a new account will be set up to handle the additional funds subject to the new rate.</w:t>
      </w:r>
    </w:p>
    <w:p w:rsidR="009443DA" w:rsidRPr="009443DA" w:rsidRDefault="009443DA" w:rsidP="009443DA">
      <w:pPr>
        <w:spacing w:after="0" w:line="240" w:lineRule="auto"/>
        <w:rPr>
          <w:rFonts w:ascii="Times New Roman" w:eastAsia="Calibri" w:hAnsi="Times New Roman" w:cs="Times New Roman"/>
          <w:sz w:val="24"/>
          <w:szCs w:val="24"/>
        </w:rPr>
      </w:pPr>
    </w:p>
    <w:p w:rsidR="009443DA" w:rsidRPr="009443DA" w:rsidRDefault="009443DA" w:rsidP="009443DA">
      <w:pPr>
        <w:spacing w:after="0" w:line="240" w:lineRule="auto"/>
        <w:rPr>
          <w:rFonts w:ascii="Times New Roman" w:eastAsia="Calibri" w:hAnsi="Times New Roman" w:cs="Times New Roman"/>
          <w:sz w:val="24"/>
          <w:szCs w:val="24"/>
        </w:rPr>
      </w:pPr>
      <w:r w:rsidRPr="009443DA">
        <w:rPr>
          <w:rFonts w:ascii="Times New Roman" w:eastAsia="Calibri" w:hAnsi="Times New Roman" w:cs="Times New Roman"/>
          <w:sz w:val="24"/>
          <w:szCs w:val="24"/>
        </w:rPr>
        <w:t xml:space="preserve">KFS programming does </w:t>
      </w:r>
      <w:r w:rsidRPr="009443DA">
        <w:rPr>
          <w:rFonts w:ascii="Times New Roman" w:eastAsia="Calibri" w:hAnsi="Times New Roman" w:cs="Times New Roman"/>
          <w:b/>
          <w:sz w:val="24"/>
          <w:szCs w:val="24"/>
        </w:rPr>
        <w:t>NOT</w:t>
      </w:r>
      <w:r w:rsidRPr="009443DA">
        <w:rPr>
          <w:rFonts w:ascii="Times New Roman" w:eastAsia="Calibri" w:hAnsi="Times New Roman" w:cs="Times New Roman"/>
          <w:sz w:val="24"/>
          <w:szCs w:val="24"/>
        </w:rPr>
        <w:t xml:space="preserve"> cap indirect costs.  If an expense is subject to indirect costs, then indirect costs will post.  Indirect costs charged to an account could exceed the amount budgeted for indirect costs.  This is consistent with how other universities handle indirect costs.</w:t>
      </w:r>
    </w:p>
    <w:p w:rsidR="009443DA" w:rsidRPr="009443DA" w:rsidRDefault="009443DA" w:rsidP="009443DA">
      <w:pPr>
        <w:spacing w:after="0" w:line="240" w:lineRule="auto"/>
        <w:rPr>
          <w:rFonts w:ascii="Times New Roman" w:eastAsia="Calibri" w:hAnsi="Times New Roman" w:cs="Times New Roman"/>
          <w:sz w:val="24"/>
          <w:szCs w:val="24"/>
        </w:rPr>
      </w:pPr>
    </w:p>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EXAMPLES</w:t>
      </w:r>
    </w:p>
    <w:tbl>
      <w:tblPr>
        <w:tblW w:w="8640" w:type="dxa"/>
        <w:jc w:val="center"/>
        <w:tblLook w:val="04A0" w:firstRow="1" w:lastRow="0" w:firstColumn="1" w:lastColumn="0" w:noHBand="0" w:noVBand="1"/>
      </w:tblPr>
      <w:tblGrid>
        <w:gridCol w:w="1865"/>
        <w:gridCol w:w="1728"/>
        <w:gridCol w:w="1728"/>
        <w:gridCol w:w="1545"/>
        <w:gridCol w:w="1774"/>
      </w:tblGrid>
      <w:tr w:rsidR="009443DA" w:rsidRPr="009443DA" w:rsidTr="00D21539">
        <w:trPr>
          <w:trHeight w:val="441"/>
          <w:jc w:val="center"/>
        </w:trPr>
        <w:tc>
          <w:tcPr>
            <w:tcW w:w="1865" w:type="dxa"/>
            <w:noWrap/>
            <w:vAlign w:val="bottom"/>
            <w:hideMark/>
          </w:tcPr>
          <w:p w:rsidR="009443DA" w:rsidRPr="009443DA" w:rsidRDefault="009443DA" w:rsidP="009443DA">
            <w:pPr>
              <w:spacing w:after="0" w:line="240" w:lineRule="auto"/>
              <w:rPr>
                <w:rFonts w:ascii="Times New Roman" w:eastAsia="Times New Roman" w:hAnsi="Times New Roman" w:cs="Times New Roman"/>
                <w:sz w:val="24"/>
                <w:szCs w:val="24"/>
              </w:rPr>
            </w:pP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rPr>
            </w:pP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LEGACY</w:t>
            </w:r>
          </w:p>
        </w:tc>
        <w:tc>
          <w:tcPr>
            <w:tcW w:w="1545"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KFS</w:t>
            </w:r>
          </w:p>
        </w:tc>
        <w:tc>
          <w:tcPr>
            <w:tcW w:w="1774"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LEGACY &amp; KFS</w:t>
            </w:r>
          </w:p>
        </w:tc>
      </w:tr>
      <w:tr w:rsidR="009443DA" w:rsidRPr="009443DA" w:rsidTr="00D21539">
        <w:trPr>
          <w:trHeight w:val="300"/>
          <w:jc w:val="center"/>
        </w:trPr>
        <w:tc>
          <w:tcPr>
            <w:tcW w:w="1865" w:type="dxa"/>
            <w:noWrap/>
            <w:vAlign w:val="bottom"/>
            <w:hideMark/>
          </w:tcPr>
          <w:p w:rsidR="009443DA" w:rsidRPr="009443DA" w:rsidRDefault="009443DA" w:rsidP="009443DA">
            <w:pPr>
              <w:spacing w:after="0" w:line="240" w:lineRule="auto"/>
              <w:rPr>
                <w:rFonts w:ascii="Times New Roman" w:eastAsia="Times New Roman" w:hAnsi="Times New Roman" w:cs="Times New Roman"/>
                <w:sz w:val="24"/>
                <w:szCs w:val="24"/>
                <w:u w:val="single"/>
              </w:rPr>
            </w:pP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u w:val="single"/>
              </w:rPr>
            </w:pP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w/ IDC cap</w:t>
            </w:r>
          </w:p>
        </w:tc>
        <w:tc>
          <w:tcPr>
            <w:tcW w:w="1545"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w/ no IDC cap</w:t>
            </w:r>
          </w:p>
        </w:tc>
        <w:tc>
          <w:tcPr>
            <w:tcW w:w="1774"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rPr>
            </w:pPr>
          </w:p>
        </w:tc>
      </w:tr>
      <w:tr w:rsidR="009443DA" w:rsidRPr="009443DA" w:rsidTr="00D21539">
        <w:trPr>
          <w:trHeight w:val="300"/>
          <w:jc w:val="center"/>
        </w:trPr>
        <w:tc>
          <w:tcPr>
            <w:tcW w:w="1865" w:type="dxa"/>
            <w:noWrap/>
            <w:vAlign w:val="bottom"/>
            <w:hideMark/>
          </w:tcPr>
          <w:p w:rsidR="009443DA" w:rsidRPr="009443DA" w:rsidRDefault="009443DA" w:rsidP="009443DA">
            <w:pPr>
              <w:spacing w:after="0" w:line="240" w:lineRule="auto"/>
              <w:rPr>
                <w:rFonts w:ascii="Times New Roman" w:eastAsia="Times New Roman" w:hAnsi="Times New Roman" w:cs="Times New Roman"/>
                <w:sz w:val="24"/>
                <w:szCs w:val="24"/>
                <w:u w:val="single"/>
              </w:rPr>
            </w:pPr>
            <w:r w:rsidRPr="009443DA">
              <w:rPr>
                <w:rFonts w:ascii="Times New Roman" w:eastAsia="Times New Roman" w:hAnsi="Times New Roman" w:cs="Times New Roman"/>
                <w:sz w:val="24"/>
                <w:szCs w:val="24"/>
                <w:u w:val="single"/>
              </w:rPr>
              <w:t>Budget Categories</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u w:val="single"/>
              </w:rPr>
            </w:pPr>
            <w:r w:rsidRPr="009443DA">
              <w:rPr>
                <w:rFonts w:ascii="Times New Roman" w:eastAsia="Times New Roman" w:hAnsi="Times New Roman" w:cs="Times New Roman"/>
                <w:sz w:val="24"/>
                <w:szCs w:val="24"/>
                <w:u w:val="single"/>
              </w:rPr>
              <w:t>BUDGET</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u w:val="single"/>
              </w:rPr>
            </w:pPr>
            <w:r w:rsidRPr="009443DA">
              <w:rPr>
                <w:rFonts w:ascii="Times New Roman" w:eastAsia="Times New Roman" w:hAnsi="Times New Roman" w:cs="Times New Roman"/>
                <w:sz w:val="24"/>
                <w:szCs w:val="24"/>
                <w:u w:val="single"/>
              </w:rPr>
              <w:t xml:space="preserve">EXPENSES* </w:t>
            </w:r>
          </w:p>
        </w:tc>
        <w:tc>
          <w:tcPr>
            <w:tcW w:w="1545"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u w:val="single"/>
              </w:rPr>
            </w:pPr>
            <w:r w:rsidRPr="009443DA">
              <w:rPr>
                <w:rFonts w:ascii="Times New Roman" w:eastAsia="Times New Roman" w:hAnsi="Times New Roman" w:cs="Times New Roman"/>
                <w:sz w:val="24"/>
                <w:szCs w:val="24"/>
                <w:u w:val="single"/>
              </w:rPr>
              <w:t>EXPENSES*</w:t>
            </w:r>
          </w:p>
        </w:tc>
        <w:tc>
          <w:tcPr>
            <w:tcW w:w="1774"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u w:val="single"/>
              </w:rPr>
            </w:pPr>
            <w:r w:rsidRPr="009443DA">
              <w:rPr>
                <w:rFonts w:ascii="Times New Roman" w:eastAsia="Times New Roman" w:hAnsi="Times New Roman" w:cs="Times New Roman"/>
                <w:sz w:val="24"/>
                <w:szCs w:val="24"/>
                <w:u w:val="single"/>
              </w:rPr>
              <w:t>EXPENSES#</w:t>
            </w:r>
          </w:p>
        </w:tc>
      </w:tr>
      <w:tr w:rsidR="009443DA" w:rsidRPr="009443DA" w:rsidTr="00D21539">
        <w:trPr>
          <w:trHeight w:val="300"/>
          <w:jc w:val="center"/>
        </w:trPr>
        <w:tc>
          <w:tcPr>
            <w:tcW w:w="1865" w:type="dxa"/>
            <w:noWrap/>
            <w:vAlign w:val="bottom"/>
            <w:hideMark/>
          </w:tcPr>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Equipment</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$10,000 </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$0 </w:t>
            </w:r>
          </w:p>
        </w:tc>
        <w:tc>
          <w:tcPr>
            <w:tcW w:w="1545"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$0 </w:t>
            </w:r>
          </w:p>
        </w:tc>
        <w:tc>
          <w:tcPr>
            <w:tcW w:w="1774"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$25,000 </w:t>
            </w:r>
          </w:p>
        </w:tc>
      </w:tr>
      <w:tr w:rsidR="009443DA" w:rsidRPr="009443DA" w:rsidTr="00D21539">
        <w:trPr>
          <w:trHeight w:val="300"/>
          <w:jc w:val="center"/>
        </w:trPr>
        <w:tc>
          <w:tcPr>
            <w:tcW w:w="1865" w:type="dxa"/>
            <w:noWrap/>
            <w:vAlign w:val="bottom"/>
            <w:hideMark/>
          </w:tcPr>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Supplies</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$10,000 </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b/>
                <w:sz w:val="24"/>
                <w:szCs w:val="24"/>
              </w:rPr>
            </w:pPr>
            <w:r w:rsidRPr="009443DA">
              <w:rPr>
                <w:rFonts w:ascii="Times New Roman" w:eastAsia="Times New Roman" w:hAnsi="Times New Roman" w:cs="Times New Roman"/>
                <w:b/>
                <w:sz w:val="24"/>
                <w:szCs w:val="24"/>
              </w:rPr>
              <w:t xml:space="preserve">$20,000 </w:t>
            </w:r>
          </w:p>
        </w:tc>
        <w:tc>
          <w:tcPr>
            <w:tcW w:w="1545" w:type="dxa"/>
            <w:vAlign w:val="bottom"/>
          </w:tcPr>
          <w:p w:rsidR="009443DA" w:rsidRPr="009443DA" w:rsidRDefault="009443DA" w:rsidP="009443DA">
            <w:pPr>
              <w:spacing w:after="0" w:line="240" w:lineRule="auto"/>
              <w:jc w:val="right"/>
              <w:rPr>
                <w:rFonts w:ascii="Times New Roman" w:eastAsia="Times New Roman" w:hAnsi="Times New Roman" w:cs="Times New Roman"/>
                <w:b/>
                <w:sz w:val="24"/>
                <w:szCs w:val="24"/>
              </w:rPr>
            </w:pPr>
            <w:r w:rsidRPr="009443DA">
              <w:rPr>
                <w:rFonts w:ascii="Times New Roman" w:eastAsia="Times New Roman" w:hAnsi="Times New Roman" w:cs="Times New Roman"/>
                <w:b/>
                <w:sz w:val="24"/>
                <w:szCs w:val="24"/>
              </w:rPr>
              <w:t xml:space="preserve">$16,667 </w:t>
            </w:r>
          </w:p>
        </w:tc>
        <w:tc>
          <w:tcPr>
            <w:tcW w:w="1774" w:type="dxa"/>
            <w:vAlign w:val="bottom"/>
          </w:tcPr>
          <w:p w:rsidR="009443DA" w:rsidRPr="009443DA" w:rsidRDefault="009443DA" w:rsidP="009443DA">
            <w:pPr>
              <w:spacing w:after="0" w:line="240" w:lineRule="auto"/>
              <w:jc w:val="right"/>
              <w:rPr>
                <w:rFonts w:ascii="Times New Roman" w:eastAsia="Times New Roman" w:hAnsi="Times New Roman" w:cs="Times New Roman"/>
                <w:b/>
                <w:sz w:val="24"/>
                <w:szCs w:val="24"/>
              </w:rPr>
            </w:pPr>
            <w:r w:rsidRPr="009443DA">
              <w:rPr>
                <w:rFonts w:ascii="Times New Roman" w:eastAsia="Times New Roman" w:hAnsi="Times New Roman" w:cs="Times New Roman"/>
                <w:b/>
                <w:sz w:val="24"/>
                <w:szCs w:val="24"/>
              </w:rPr>
              <w:t xml:space="preserve">$0 </w:t>
            </w:r>
          </w:p>
        </w:tc>
      </w:tr>
      <w:tr w:rsidR="009443DA" w:rsidRPr="009443DA" w:rsidTr="00D21539">
        <w:trPr>
          <w:trHeight w:val="300"/>
          <w:jc w:val="center"/>
        </w:trPr>
        <w:tc>
          <w:tcPr>
            <w:tcW w:w="1865" w:type="dxa"/>
            <w:noWrap/>
            <w:vAlign w:val="bottom"/>
            <w:hideMark/>
          </w:tcPr>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Total Direct Cost</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u w:val="single"/>
              </w:rPr>
            </w:pPr>
            <w:r w:rsidRPr="009443DA">
              <w:rPr>
                <w:rFonts w:ascii="Times New Roman" w:eastAsia="Times New Roman" w:hAnsi="Times New Roman" w:cs="Times New Roman"/>
                <w:sz w:val="24"/>
                <w:szCs w:val="24"/>
                <w:u w:val="single"/>
              </w:rPr>
              <w:t xml:space="preserve">$20,000 </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u w:val="single"/>
              </w:rPr>
            </w:pPr>
            <w:r w:rsidRPr="009443DA">
              <w:rPr>
                <w:rFonts w:ascii="Times New Roman" w:eastAsia="Times New Roman" w:hAnsi="Times New Roman" w:cs="Times New Roman"/>
                <w:sz w:val="24"/>
                <w:szCs w:val="24"/>
                <w:u w:val="single"/>
              </w:rPr>
              <w:t xml:space="preserve">$20,000 </w:t>
            </w:r>
          </w:p>
        </w:tc>
        <w:tc>
          <w:tcPr>
            <w:tcW w:w="1545"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u w:val="single"/>
              </w:rPr>
            </w:pPr>
            <w:r w:rsidRPr="009443DA">
              <w:rPr>
                <w:rFonts w:ascii="Times New Roman" w:eastAsia="Times New Roman" w:hAnsi="Times New Roman" w:cs="Times New Roman"/>
                <w:sz w:val="24"/>
                <w:szCs w:val="24"/>
                <w:u w:val="single"/>
              </w:rPr>
              <w:t xml:space="preserve">$16,667 </w:t>
            </w:r>
          </w:p>
        </w:tc>
        <w:tc>
          <w:tcPr>
            <w:tcW w:w="1774"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u w:val="single"/>
              </w:rPr>
            </w:pPr>
            <w:r w:rsidRPr="009443DA">
              <w:rPr>
                <w:rFonts w:ascii="Times New Roman" w:eastAsia="Times New Roman" w:hAnsi="Times New Roman" w:cs="Times New Roman"/>
                <w:sz w:val="24"/>
                <w:szCs w:val="24"/>
                <w:u w:val="single"/>
              </w:rPr>
              <w:t xml:space="preserve">$25,000 </w:t>
            </w:r>
          </w:p>
        </w:tc>
      </w:tr>
      <w:tr w:rsidR="009443DA" w:rsidRPr="009443DA" w:rsidTr="00D21539">
        <w:trPr>
          <w:trHeight w:val="300"/>
          <w:jc w:val="center"/>
        </w:trPr>
        <w:tc>
          <w:tcPr>
            <w:tcW w:w="1865" w:type="dxa"/>
            <w:noWrap/>
            <w:vAlign w:val="bottom"/>
            <w:hideMark/>
          </w:tcPr>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IDC Rate 50%</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$5,000 </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b/>
                <w:sz w:val="24"/>
                <w:szCs w:val="24"/>
              </w:rPr>
            </w:pPr>
            <w:r w:rsidRPr="009443DA">
              <w:rPr>
                <w:rFonts w:ascii="Times New Roman" w:eastAsia="Times New Roman" w:hAnsi="Times New Roman" w:cs="Times New Roman"/>
                <w:b/>
                <w:sz w:val="24"/>
                <w:szCs w:val="24"/>
              </w:rPr>
              <w:t xml:space="preserve">$5,000  </w:t>
            </w:r>
          </w:p>
        </w:tc>
        <w:tc>
          <w:tcPr>
            <w:tcW w:w="1545" w:type="dxa"/>
            <w:vAlign w:val="bottom"/>
          </w:tcPr>
          <w:p w:rsidR="009443DA" w:rsidRPr="009443DA" w:rsidRDefault="009443DA" w:rsidP="009443DA">
            <w:pPr>
              <w:spacing w:after="0" w:line="240" w:lineRule="auto"/>
              <w:jc w:val="right"/>
              <w:rPr>
                <w:rFonts w:ascii="Times New Roman" w:eastAsia="Times New Roman" w:hAnsi="Times New Roman" w:cs="Times New Roman"/>
                <w:b/>
                <w:sz w:val="24"/>
                <w:szCs w:val="24"/>
              </w:rPr>
            </w:pPr>
            <w:r w:rsidRPr="009443DA">
              <w:rPr>
                <w:rFonts w:ascii="Times New Roman" w:eastAsia="Times New Roman" w:hAnsi="Times New Roman" w:cs="Times New Roman"/>
                <w:b/>
                <w:sz w:val="24"/>
                <w:szCs w:val="24"/>
              </w:rPr>
              <w:t xml:space="preserve">$8,333  </w:t>
            </w:r>
          </w:p>
        </w:tc>
        <w:tc>
          <w:tcPr>
            <w:tcW w:w="1774" w:type="dxa"/>
            <w:vAlign w:val="bottom"/>
          </w:tcPr>
          <w:p w:rsidR="009443DA" w:rsidRPr="009443DA" w:rsidRDefault="009443DA" w:rsidP="009443DA">
            <w:pPr>
              <w:spacing w:after="0" w:line="240" w:lineRule="auto"/>
              <w:jc w:val="right"/>
              <w:rPr>
                <w:rFonts w:ascii="Times New Roman" w:eastAsia="Times New Roman" w:hAnsi="Times New Roman" w:cs="Times New Roman"/>
                <w:b/>
                <w:sz w:val="24"/>
                <w:szCs w:val="24"/>
              </w:rPr>
            </w:pPr>
            <w:r w:rsidRPr="009443DA">
              <w:rPr>
                <w:rFonts w:ascii="Times New Roman" w:eastAsia="Times New Roman" w:hAnsi="Times New Roman" w:cs="Times New Roman"/>
                <w:b/>
                <w:sz w:val="24"/>
                <w:szCs w:val="24"/>
              </w:rPr>
              <w:t xml:space="preserve">$0  </w:t>
            </w:r>
          </w:p>
        </w:tc>
      </w:tr>
      <w:tr w:rsidR="009443DA" w:rsidRPr="009443DA" w:rsidTr="00D21539">
        <w:trPr>
          <w:trHeight w:val="315"/>
          <w:jc w:val="center"/>
        </w:trPr>
        <w:tc>
          <w:tcPr>
            <w:tcW w:w="1865" w:type="dxa"/>
            <w:noWrap/>
            <w:vAlign w:val="bottom"/>
            <w:hideMark/>
          </w:tcPr>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TOTAL </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$25,000 </w:t>
            </w:r>
          </w:p>
        </w:tc>
        <w:tc>
          <w:tcPr>
            <w:tcW w:w="1728" w:type="dxa"/>
            <w:noWrap/>
            <w:vAlign w:val="bottom"/>
            <w:hideMark/>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$25,000 </w:t>
            </w:r>
          </w:p>
        </w:tc>
        <w:tc>
          <w:tcPr>
            <w:tcW w:w="1545"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$25,000 </w:t>
            </w:r>
          </w:p>
        </w:tc>
        <w:tc>
          <w:tcPr>
            <w:tcW w:w="1774" w:type="dxa"/>
            <w:vAlign w:val="bottom"/>
          </w:tcPr>
          <w:p w:rsidR="009443DA" w:rsidRPr="009443DA" w:rsidRDefault="009443DA" w:rsidP="009443DA">
            <w:pPr>
              <w:spacing w:after="0" w:line="240" w:lineRule="auto"/>
              <w:jc w:val="right"/>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 xml:space="preserve">$25,000 </w:t>
            </w:r>
          </w:p>
        </w:tc>
      </w:tr>
    </w:tbl>
    <w:p w:rsidR="009443DA" w:rsidRPr="009443DA" w:rsidRDefault="009443DA" w:rsidP="009443DA">
      <w:pPr>
        <w:spacing w:after="0" w:line="240" w:lineRule="auto"/>
        <w:ind w:left="720"/>
        <w:rPr>
          <w:rFonts w:ascii="Times New Roman" w:eastAsia="Times New Roman" w:hAnsi="Times New Roman" w:cs="Times New Roman"/>
          <w:sz w:val="24"/>
          <w:szCs w:val="24"/>
        </w:rPr>
      </w:pPr>
    </w:p>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*Direct costs incurred on budget categories (not subject to IDC) which are underspent</w:t>
      </w:r>
    </w:p>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w:t>
      </w:r>
      <w:proofErr w:type="gramStart"/>
      <w:r w:rsidRPr="009443DA">
        <w:rPr>
          <w:rFonts w:ascii="Times New Roman" w:eastAsia="Times New Roman" w:hAnsi="Times New Roman" w:cs="Times New Roman"/>
          <w:sz w:val="24"/>
          <w:szCs w:val="24"/>
        </w:rPr>
        <w:t>Direct</w:t>
      </w:r>
      <w:proofErr w:type="gramEnd"/>
      <w:r w:rsidRPr="009443DA">
        <w:rPr>
          <w:rFonts w:ascii="Times New Roman" w:eastAsia="Times New Roman" w:hAnsi="Times New Roman" w:cs="Times New Roman"/>
          <w:sz w:val="24"/>
          <w:szCs w:val="24"/>
        </w:rPr>
        <w:t xml:space="preserve"> costs incurred on budget categories (not subject to IDC) which are overspent</w:t>
      </w:r>
    </w:p>
    <w:p w:rsidR="009443DA" w:rsidRPr="009443DA" w:rsidRDefault="009443DA" w:rsidP="009443DA">
      <w:pPr>
        <w:spacing w:after="0" w:line="240" w:lineRule="auto"/>
        <w:rPr>
          <w:rFonts w:ascii="Times New Roman" w:eastAsia="Times New Roman" w:hAnsi="Times New Roman" w:cs="Times New Roman"/>
          <w:sz w:val="24"/>
          <w:szCs w:val="24"/>
        </w:rPr>
      </w:pPr>
    </w:p>
    <w:p w:rsidR="009443DA" w:rsidRPr="009443DA" w:rsidRDefault="009443DA" w:rsidP="009443DA">
      <w:pPr>
        <w:spacing w:after="0" w:line="240" w:lineRule="auto"/>
        <w:rPr>
          <w:rFonts w:ascii="Times New Roman" w:eastAsia="Times New Roman" w:hAnsi="Times New Roman" w:cs="Times New Roman"/>
          <w:sz w:val="24"/>
          <w:szCs w:val="24"/>
        </w:rPr>
      </w:pPr>
      <w:r w:rsidRPr="009443DA">
        <w:rPr>
          <w:rFonts w:ascii="Times New Roman" w:eastAsia="Times New Roman" w:hAnsi="Times New Roman" w:cs="Times New Roman"/>
          <w:sz w:val="24"/>
          <w:szCs w:val="24"/>
        </w:rPr>
        <w:t>If you have any questions about the posting of indirect costs in KFS, please contact Jamy Rentschler, jamyr@iastate.edu or Becky Musselman, rjmusse@iastate.edu.</w:t>
      </w:r>
    </w:p>
    <w:p w:rsidR="009443DA" w:rsidRPr="009443DA" w:rsidRDefault="009443DA" w:rsidP="00EF7806">
      <w:pPr>
        <w:spacing w:after="0" w:line="240" w:lineRule="auto"/>
        <w:rPr>
          <w:rFonts w:ascii="Times New Roman" w:hAnsi="Times New Roman" w:cs="Times New Roman"/>
          <w:b/>
          <w:sz w:val="24"/>
          <w:szCs w:val="24"/>
        </w:rPr>
      </w:pPr>
    </w:p>
    <w:p w:rsidR="00C55222" w:rsidRPr="009443DA" w:rsidRDefault="006752C4" w:rsidP="00EF7806">
      <w:pPr>
        <w:spacing w:after="0" w:line="240" w:lineRule="auto"/>
        <w:rPr>
          <w:rFonts w:ascii="Times New Roman" w:hAnsi="Times New Roman" w:cs="Times New Roman"/>
          <w:b/>
          <w:sz w:val="24"/>
          <w:szCs w:val="24"/>
        </w:rPr>
      </w:pPr>
      <w:r>
        <w:rPr>
          <w:rFonts w:ascii="Times New Roman" w:hAnsi="Times New Roman" w:cs="Times New Roman"/>
          <w:b/>
          <w:sz w:val="24"/>
          <w:szCs w:val="24"/>
        </w:rPr>
        <w:t>SIGNATURES ON EASE FORMS</w:t>
      </w:r>
    </w:p>
    <w:p w:rsidR="00CB55D1" w:rsidRDefault="00CB55D1" w:rsidP="00EF7806">
      <w:pPr>
        <w:spacing w:after="0" w:line="240" w:lineRule="auto"/>
        <w:rPr>
          <w:rFonts w:ascii="Times New Roman" w:hAnsi="Times New Roman" w:cs="Times New Roman"/>
          <w:sz w:val="24"/>
          <w:szCs w:val="24"/>
        </w:rPr>
      </w:pPr>
    </w:p>
    <w:p w:rsidR="00C55222" w:rsidRPr="009443DA" w:rsidRDefault="00C55222" w:rsidP="00EF7806">
      <w:p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 xml:space="preserve">Please remember that principal investigators (faculty &amp; non-faculty) must certify their own effort and sign their own forms.  For all other salaried employees, the employee or a supervisor with first-hand knowledge of the effort must certify effort and sign the form.  The immediate supervisor’s signature must be an original signature as signature stamps are not acceptable. </w:t>
      </w:r>
    </w:p>
    <w:p w:rsidR="00C55222" w:rsidRPr="009443DA" w:rsidRDefault="00C55222" w:rsidP="00EF7806">
      <w:pPr>
        <w:spacing w:after="0" w:line="240" w:lineRule="auto"/>
        <w:rPr>
          <w:rFonts w:ascii="Times New Roman" w:hAnsi="Times New Roman" w:cs="Times New Roman"/>
          <w:sz w:val="24"/>
          <w:szCs w:val="24"/>
        </w:rPr>
      </w:pPr>
    </w:p>
    <w:p w:rsidR="00C55222" w:rsidRPr="009443DA" w:rsidRDefault="00C55222" w:rsidP="00EF7806">
      <w:p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 xml:space="preserve">For additional information on EASE forms, please see the manual at </w:t>
      </w:r>
      <w:hyperlink r:id="rId6" w:history="1">
        <w:r w:rsidRPr="009443DA">
          <w:rPr>
            <w:rStyle w:val="Hyperlink"/>
            <w:rFonts w:ascii="Times New Roman" w:hAnsi="Times New Roman" w:cs="Times New Roman"/>
            <w:sz w:val="24"/>
            <w:szCs w:val="24"/>
          </w:rPr>
          <w:t>http://www.controller.iastate.edu/controller/easemanual.pdf</w:t>
        </w:r>
      </w:hyperlink>
      <w:r w:rsidRPr="009443DA">
        <w:rPr>
          <w:rFonts w:ascii="Times New Roman" w:hAnsi="Times New Roman" w:cs="Times New Roman"/>
          <w:sz w:val="24"/>
          <w:szCs w:val="24"/>
        </w:rPr>
        <w:t xml:space="preserve">. </w:t>
      </w:r>
    </w:p>
    <w:p w:rsidR="00C55222" w:rsidRPr="009443DA" w:rsidRDefault="00C55222" w:rsidP="00EF7806">
      <w:pPr>
        <w:spacing w:after="0" w:line="240" w:lineRule="auto"/>
        <w:rPr>
          <w:rFonts w:ascii="Times New Roman" w:hAnsi="Times New Roman" w:cs="Times New Roman"/>
          <w:sz w:val="24"/>
          <w:szCs w:val="24"/>
        </w:rPr>
      </w:pPr>
    </w:p>
    <w:p w:rsidR="00FC413C" w:rsidRDefault="00FC413C" w:rsidP="00EF7806">
      <w:pPr>
        <w:spacing w:after="0" w:line="240" w:lineRule="auto"/>
        <w:rPr>
          <w:rFonts w:ascii="Times New Roman" w:hAnsi="Times New Roman" w:cs="Times New Roman"/>
          <w:b/>
          <w:sz w:val="24"/>
          <w:szCs w:val="24"/>
        </w:rPr>
      </w:pPr>
    </w:p>
    <w:p w:rsidR="00FC413C" w:rsidRDefault="00FC413C" w:rsidP="00EF7806">
      <w:pPr>
        <w:spacing w:after="0" w:line="240" w:lineRule="auto"/>
        <w:rPr>
          <w:rFonts w:ascii="Times New Roman" w:hAnsi="Times New Roman" w:cs="Times New Roman"/>
          <w:b/>
          <w:sz w:val="24"/>
          <w:szCs w:val="24"/>
        </w:rPr>
      </w:pPr>
    </w:p>
    <w:p w:rsidR="00FC413C" w:rsidRDefault="00FC413C" w:rsidP="00EF7806">
      <w:pPr>
        <w:spacing w:after="0" w:line="240" w:lineRule="auto"/>
        <w:rPr>
          <w:rFonts w:ascii="Times New Roman" w:hAnsi="Times New Roman" w:cs="Times New Roman"/>
          <w:b/>
          <w:sz w:val="24"/>
          <w:szCs w:val="24"/>
        </w:rPr>
      </w:pPr>
    </w:p>
    <w:p w:rsidR="002B5A3E" w:rsidRPr="009443DA" w:rsidRDefault="006752C4" w:rsidP="00EF7806">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EASE SUMMARY SCREEN IN WEBFM</w:t>
      </w:r>
    </w:p>
    <w:p w:rsidR="00CB55D1" w:rsidRDefault="00CB55D1" w:rsidP="00EF7806">
      <w:pPr>
        <w:spacing w:after="0" w:line="240" w:lineRule="auto"/>
        <w:rPr>
          <w:rFonts w:ascii="Times New Roman" w:hAnsi="Times New Roman" w:cs="Times New Roman"/>
          <w:sz w:val="24"/>
          <w:szCs w:val="24"/>
        </w:rPr>
      </w:pPr>
    </w:p>
    <w:p w:rsidR="002B5A3E" w:rsidRPr="009443DA" w:rsidRDefault="002B5A3E" w:rsidP="00EF7806">
      <w:p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 xml:space="preserve">The effort reporting system, EASE, is a legacy system that will still be used after the transition to Kuali.  A new link has been added to the menu called “EASE Summary” which will allow you to see the same summary of EASE information which has been entered on an account. </w:t>
      </w:r>
    </w:p>
    <w:p w:rsidR="002B5A3E" w:rsidRPr="009443DA" w:rsidRDefault="002B5A3E" w:rsidP="00EF7806">
      <w:pPr>
        <w:spacing w:after="0" w:line="240" w:lineRule="auto"/>
        <w:rPr>
          <w:rFonts w:ascii="Times New Roman" w:hAnsi="Times New Roman" w:cs="Times New Roman"/>
          <w:sz w:val="24"/>
          <w:szCs w:val="24"/>
        </w:rPr>
      </w:pPr>
    </w:p>
    <w:p w:rsidR="002B5A3E" w:rsidRPr="009443DA" w:rsidRDefault="002B5A3E" w:rsidP="00EF7806">
      <w:pPr>
        <w:spacing w:after="0" w:line="240" w:lineRule="auto"/>
        <w:rPr>
          <w:rFonts w:ascii="Times New Roman" w:hAnsi="Times New Roman" w:cs="Times New Roman"/>
          <w:sz w:val="24"/>
          <w:szCs w:val="24"/>
        </w:rPr>
      </w:pPr>
      <w:r w:rsidRPr="009443DA">
        <w:rPr>
          <w:rFonts w:ascii="Times New Roman" w:hAnsi="Times New Roman" w:cs="Times New Roman"/>
          <w:sz w:val="24"/>
          <w:szCs w:val="24"/>
        </w:rPr>
        <w:t xml:space="preserve">Please be aware that due to the EASE system’s parameters, it will show all of the EASE information loaded for the past ten years on an account number.  Therefore, if the account number was used previously and had EASE entered, it will show up.  This should be easily identifiable by looking at the term and year of the EASE entries. If they are outside of the award period, do not include them in the cost share documentation. </w:t>
      </w:r>
    </w:p>
    <w:p w:rsidR="002B5A3E" w:rsidRPr="009443DA" w:rsidRDefault="002B5A3E" w:rsidP="00EF7806">
      <w:pPr>
        <w:spacing w:after="0" w:line="240" w:lineRule="auto"/>
        <w:rPr>
          <w:rFonts w:ascii="Times New Roman" w:hAnsi="Times New Roman" w:cs="Times New Roman"/>
          <w:b/>
          <w:sz w:val="24"/>
          <w:szCs w:val="24"/>
        </w:rPr>
      </w:pPr>
    </w:p>
    <w:p w:rsidR="00C55222" w:rsidRPr="009443DA" w:rsidRDefault="00C55222" w:rsidP="00EF7806">
      <w:pPr>
        <w:spacing w:after="0" w:line="240" w:lineRule="auto"/>
        <w:rPr>
          <w:rFonts w:ascii="Times New Roman" w:hAnsi="Times New Roman" w:cs="Times New Roman"/>
          <w:sz w:val="24"/>
          <w:szCs w:val="24"/>
        </w:rPr>
      </w:pPr>
    </w:p>
    <w:p w:rsidR="00C55222" w:rsidRPr="009443DA" w:rsidRDefault="00C55222" w:rsidP="00EF7806">
      <w:pPr>
        <w:spacing w:after="0" w:line="240" w:lineRule="auto"/>
        <w:rPr>
          <w:rFonts w:ascii="Times New Roman" w:hAnsi="Times New Roman" w:cs="Times New Roman"/>
          <w:sz w:val="24"/>
          <w:szCs w:val="24"/>
        </w:rPr>
      </w:pPr>
    </w:p>
    <w:sectPr w:rsidR="00C55222" w:rsidRPr="00944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C5102"/>
    <w:multiLevelType w:val="hybridMultilevel"/>
    <w:tmpl w:val="FDD4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90F96"/>
    <w:multiLevelType w:val="hybridMultilevel"/>
    <w:tmpl w:val="3D4A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66559"/>
    <w:multiLevelType w:val="hybridMultilevel"/>
    <w:tmpl w:val="2FE2671C"/>
    <w:lvl w:ilvl="0" w:tplc="65B64C5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06"/>
    <w:rsid w:val="00280299"/>
    <w:rsid w:val="002A3E46"/>
    <w:rsid w:val="002B5A3E"/>
    <w:rsid w:val="005668B9"/>
    <w:rsid w:val="006752C4"/>
    <w:rsid w:val="009443DA"/>
    <w:rsid w:val="00BA1D52"/>
    <w:rsid w:val="00C55222"/>
    <w:rsid w:val="00CB55D1"/>
    <w:rsid w:val="00DA4A0C"/>
    <w:rsid w:val="00EF7806"/>
    <w:rsid w:val="00FC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06"/>
    <w:pPr>
      <w:ind w:left="720"/>
      <w:contextualSpacing/>
    </w:pPr>
  </w:style>
  <w:style w:type="character" w:styleId="Hyperlink">
    <w:name w:val="Hyperlink"/>
    <w:basedOn w:val="DefaultParagraphFont"/>
    <w:uiPriority w:val="99"/>
    <w:unhideWhenUsed/>
    <w:rsid w:val="00C552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06"/>
    <w:pPr>
      <w:ind w:left="720"/>
      <w:contextualSpacing/>
    </w:pPr>
  </w:style>
  <w:style w:type="character" w:styleId="Hyperlink">
    <w:name w:val="Hyperlink"/>
    <w:basedOn w:val="DefaultParagraphFont"/>
    <w:uiPriority w:val="99"/>
    <w:unhideWhenUsed/>
    <w:rsid w:val="00C55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roller.iastate.edu/controller/easemanua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ITSSCCM1</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Rentschler, Jamy K [CONTR]</dc:creator>
  <cp:lastModifiedBy>Rentschler, Jamy K [CONTR]</cp:lastModifiedBy>
  <cp:revision>2</cp:revision>
  <dcterms:created xsi:type="dcterms:W3CDTF">2013-05-15T00:10:00Z</dcterms:created>
  <dcterms:modified xsi:type="dcterms:W3CDTF">2013-05-15T00:10:00Z</dcterms:modified>
</cp:coreProperties>
</file>