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3155" w14:textId="77777777" w:rsidR="00115541" w:rsidRDefault="005B4807" w:rsidP="00626D56">
      <w:pPr>
        <w:tabs>
          <w:tab w:val="left" w:pos="-360"/>
        </w:tabs>
        <w:ind w:righ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7B5F" wp14:editId="3D35DB4E">
                <wp:simplePos x="0" y="0"/>
                <wp:positionH relativeFrom="column">
                  <wp:posOffset>584791</wp:posOffset>
                </wp:positionH>
                <wp:positionV relativeFrom="paragraph">
                  <wp:posOffset>0</wp:posOffset>
                </wp:positionV>
                <wp:extent cx="5123180" cy="3499485"/>
                <wp:effectExtent l="0" t="0" r="2032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180" cy="3499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BD76" id="Rectangle 3" o:spid="_x0000_s1026" style="position:absolute;margin-left:46.05pt;margin-top:0;width:403.4pt;height:2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" filled="f" strokecolor="black [3213]" strokeweight="2pt"/>
            </w:pict>
          </mc:Fallback>
        </mc:AlternateContent>
      </w:r>
      <w:r w:rsidR="006A57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1979" wp14:editId="4E7D2480">
                <wp:simplePos x="0" y="0"/>
                <wp:positionH relativeFrom="column">
                  <wp:posOffset>1213945</wp:posOffset>
                </wp:positionH>
                <wp:positionV relativeFrom="paragraph">
                  <wp:posOffset>0</wp:posOffset>
                </wp:positionV>
                <wp:extent cx="3736427" cy="425669"/>
                <wp:effectExtent l="0" t="0" r="1651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427" cy="425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D4DE" w14:textId="77777777" w:rsidR="006A57AC" w:rsidRPr="006A57AC" w:rsidRDefault="006A57AC" w:rsidP="006A57AC">
                            <w:pPr>
                              <w:ind w:right="-54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A57AC">
                              <w:rPr>
                                <w:b/>
                                <w:sz w:val="40"/>
                                <w:szCs w:val="40"/>
                              </w:rPr>
                              <w:t>The Incoming PI Transfer Process</w:t>
                            </w:r>
                          </w:p>
                          <w:p w14:paraId="117F08DD" w14:textId="77777777" w:rsidR="006A57AC" w:rsidRDefault="006A5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1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6pt;margin-top:0;width:294.2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">
                <v:textbox>
                  <w:txbxContent>
                    <w:p w14:paraId="2FFCD4DE" w14:textId="77777777" w:rsidR="006A57AC" w:rsidRPr="006A57AC" w:rsidRDefault="006A57AC" w:rsidP="006A57AC">
                      <w:pPr>
                        <w:ind w:right="-540"/>
                        <w:rPr>
                          <w:b/>
                          <w:sz w:val="40"/>
                          <w:szCs w:val="40"/>
                        </w:rPr>
                      </w:pPr>
                      <w:r w:rsidRPr="006A57AC">
                        <w:rPr>
                          <w:b/>
                          <w:sz w:val="40"/>
                          <w:szCs w:val="40"/>
                        </w:rPr>
                        <w:t>The Incoming PI Transfer Process</w:t>
                      </w:r>
                    </w:p>
                    <w:p w14:paraId="117F08DD" w14:textId="77777777" w:rsidR="006A57AC" w:rsidRDefault="006A57AC"/>
                  </w:txbxContent>
                </v:textbox>
              </v:shape>
            </w:pict>
          </mc:Fallback>
        </mc:AlternateContent>
      </w:r>
      <w:r w:rsidR="00626D56">
        <w:rPr>
          <w:noProof/>
        </w:rPr>
        <w:drawing>
          <wp:inline distT="0" distB="0" distL="0" distR="0" wp14:anchorId="31EE31C5" wp14:editId="19F8224B">
            <wp:extent cx="5124893" cy="520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047" cy="52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7721B" w14:textId="77777777" w:rsidR="006A66C0" w:rsidRDefault="00EC3A06" w:rsidP="00626D56">
      <w:pPr>
        <w:ind w:left="-450" w:right="-540"/>
        <w:jc w:val="center"/>
      </w:pPr>
      <w:r>
        <w:rPr>
          <w:noProof/>
        </w:rPr>
        <w:drawing>
          <wp:inline distT="0" distB="0" distL="0" distR="0" wp14:anchorId="5F4854E9" wp14:editId="74EE5B4A">
            <wp:extent cx="4799083" cy="2872984"/>
            <wp:effectExtent l="0" t="0" r="190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08" cy="287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42AF" w14:textId="77777777" w:rsidR="006A57AC" w:rsidRPr="00257077" w:rsidRDefault="006A57AC" w:rsidP="00B40F72">
      <w:pPr>
        <w:ind w:right="-540"/>
        <w:jc w:val="center"/>
        <w:rPr>
          <w:b/>
          <w:sz w:val="28"/>
          <w:szCs w:val="28"/>
        </w:rPr>
      </w:pPr>
    </w:p>
    <w:p w14:paraId="25081B5A" w14:textId="77777777" w:rsidR="00257077" w:rsidRDefault="00257077" w:rsidP="00B40F72">
      <w:pPr>
        <w:pStyle w:val="ListParagraph"/>
        <w:ind w:left="0" w:right="-540"/>
        <w:rPr>
          <w:b/>
        </w:rPr>
      </w:pPr>
      <w:r w:rsidRPr="00257077">
        <w:rPr>
          <w:b/>
        </w:rPr>
        <w:t>What Happens at ISU?</w:t>
      </w:r>
    </w:p>
    <w:p w14:paraId="430E1520" w14:textId="77777777" w:rsidR="00257077" w:rsidRPr="00257077" w:rsidRDefault="00257077" w:rsidP="00B40F72">
      <w:pPr>
        <w:pStyle w:val="ListParagraph"/>
        <w:ind w:left="0" w:right="-540"/>
        <w:rPr>
          <w:b/>
        </w:rPr>
      </w:pPr>
    </w:p>
    <w:p w14:paraId="0E4D46C4" w14:textId="77777777" w:rsidR="006A66C0" w:rsidRPr="006A66C0" w:rsidRDefault="006A66C0" w:rsidP="00B40F72">
      <w:pPr>
        <w:pStyle w:val="ListParagraph"/>
        <w:ind w:left="0" w:right="-540"/>
      </w:pPr>
      <w:r>
        <w:t>Once a new PI agrees to relocate to Iowa State University, the process to transfer their grants begins.</w:t>
      </w:r>
    </w:p>
    <w:p w14:paraId="45A09463" w14:textId="77777777" w:rsidR="006A66C0" w:rsidRDefault="006A66C0" w:rsidP="008F5A6C">
      <w:pPr>
        <w:pStyle w:val="ListParagraph"/>
        <w:numPr>
          <w:ilvl w:val="0"/>
          <w:numId w:val="1"/>
        </w:numPr>
      </w:pPr>
      <w:r>
        <w:t>Establish the PI in the ISU system (E</w:t>
      </w:r>
      <w:r w:rsidR="00055627">
        <w:t>lectronic Personnel Action</w:t>
      </w:r>
      <w:r>
        <w:t xml:space="preserve"> must be fully routed)</w:t>
      </w:r>
    </w:p>
    <w:p w14:paraId="3C6962DF" w14:textId="4B2EC0D9" w:rsidR="006A66C0" w:rsidRDefault="00257077" w:rsidP="00B40F72">
      <w:pPr>
        <w:pStyle w:val="ListParagraph"/>
        <w:numPr>
          <w:ilvl w:val="0"/>
          <w:numId w:val="1"/>
        </w:numPr>
        <w:ind w:right="-540"/>
      </w:pPr>
      <w:r>
        <w:t xml:space="preserve">Contact </w:t>
      </w:r>
      <w:hyperlink r:id="rId7" w:history="1">
        <w:r w:rsidRPr="008860C5">
          <w:rPr>
            <w:rStyle w:val="Hyperlink"/>
          </w:rPr>
          <w:t>ospa-proposals@iastate.edu</w:t>
        </w:r>
      </w:hyperlink>
      <w:r>
        <w:t xml:space="preserve"> to </w:t>
      </w:r>
      <w:r w:rsidR="008E425D">
        <w:t xml:space="preserve">request that OPSA </w:t>
      </w:r>
      <w:r>
        <w:t>register PI in</w:t>
      </w:r>
      <w:r w:rsidR="006A66C0">
        <w:t xml:space="preserve"> </w:t>
      </w:r>
      <w:r w:rsidR="00090CD5">
        <w:t>Streamlyne</w:t>
      </w:r>
      <w:r w:rsidR="006A66C0">
        <w:t xml:space="preserve"> and other </w:t>
      </w:r>
      <w:proofErr w:type="gramStart"/>
      <w:r w:rsidR="006A66C0">
        <w:t>systems</w:t>
      </w:r>
      <w:proofErr w:type="gramEnd"/>
    </w:p>
    <w:p w14:paraId="3202D4BD" w14:textId="77777777" w:rsidR="00BF34F8" w:rsidRDefault="00257077" w:rsidP="00B40F72">
      <w:pPr>
        <w:pStyle w:val="ListParagraph"/>
        <w:numPr>
          <w:ilvl w:val="0"/>
          <w:numId w:val="1"/>
        </w:numPr>
        <w:ind w:right="-540"/>
      </w:pPr>
      <w:r>
        <w:t>N</w:t>
      </w:r>
      <w:r w:rsidR="00BF34F8">
        <w:t xml:space="preserve">otify the OSPA </w:t>
      </w:r>
      <w:r w:rsidR="008E425D">
        <w:t>P</w:t>
      </w:r>
      <w:r w:rsidR="00BF34F8">
        <w:t>re-</w:t>
      </w:r>
      <w:r w:rsidR="008E425D">
        <w:t>A</w:t>
      </w:r>
      <w:r w:rsidR="00BF34F8">
        <w:t>ward</w:t>
      </w:r>
      <w:r w:rsidR="00BF34F8" w:rsidRPr="00BF34F8">
        <w:t xml:space="preserve"> </w:t>
      </w:r>
      <w:r w:rsidR="008E425D">
        <w:t>T</w:t>
      </w:r>
      <w:r w:rsidR="00BF34F8" w:rsidRPr="00BF34F8">
        <w:t xml:space="preserve">eam of the </w:t>
      </w:r>
      <w:r>
        <w:t>PI’s</w:t>
      </w:r>
      <w:r w:rsidR="00BF34F8" w:rsidRPr="00BF34F8">
        <w:t xml:space="preserve"> date of arrival and projects and </w:t>
      </w:r>
      <w:r>
        <w:t>the projects he/she wishes</w:t>
      </w:r>
      <w:r w:rsidR="00BF34F8" w:rsidRPr="00BF34F8">
        <w:t xml:space="preserve"> to transfer to </w:t>
      </w:r>
      <w:r>
        <w:t>ISU</w:t>
      </w:r>
      <w:r w:rsidR="00BF34F8" w:rsidRPr="00BF34F8">
        <w:t xml:space="preserve">. </w:t>
      </w:r>
    </w:p>
    <w:p w14:paraId="31A81454" w14:textId="77777777" w:rsidR="00257077" w:rsidRDefault="00257077" w:rsidP="00B40F72">
      <w:pPr>
        <w:pStyle w:val="ListParagraph"/>
        <w:numPr>
          <w:ilvl w:val="0"/>
          <w:numId w:val="1"/>
        </w:numPr>
        <w:ind w:right="-540"/>
      </w:pPr>
      <w:r>
        <w:t>Receive assurance of acceptance of award from ISU</w:t>
      </w:r>
    </w:p>
    <w:p w14:paraId="1820A0CD" w14:textId="77777777" w:rsidR="00257077" w:rsidRPr="00257077" w:rsidRDefault="00257077" w:rsidP="00257077">
      <w:pPr>
        <w:ind w:right="-540"/>
        <w:rPr>
          <w:b/>
        </w:rPr>
      </w:pPr>
      <w:r w:rsidRPr="00257077">
        <w:rPr>
          <w:b/>
        </w:rPr>
        <w:t>What Happens at the Original Institution?</w:t>
      </w:r>
    </w:p>
    <w:p w14:paraId="36C59A7C" w14:textId="77777777" w:rsidR="00257077" w:rsidRDefault="00257077" w:rsidP="00257077">
      <w:pPr>
        <w:pStyle w:val="ListParagraph"/>
        <w:numPr>
          <w:ilvl w:val="0"/>
          <w:numId w:val="7"/>
        </w:numPr>
        <w:ind w:right="-540"/>
      </w:pPr>
      <w:r>
        <w:t xml:space="preserve">PI </w:t>
      </w:r>
      <w:r w:rsidR="00BF34F8" w:rsidRPr="00BF34F8">
        <w:t>inform</w:t>
      </w:r>
      <w:r>
        <w:t>s</w:t>
      </w:r>
      <w:r w:rsidR="00BF34F8" w:rsidRPr="00BF34F8">
        <w:t xml:space="preserve"> the original institution that he/she is leaving and wants to transfer the project to ISU. </w:t>
      </w:r>
    </w:p>
    <w:p w14:paraId="55C461DC" w14:textId="77777777" w:rsidR="00257077" w:rsidRDefault="00257077" w:rsidP="00257077">
      <w:pPr>
        <w:pStyle w:val="ListParagraph"/>
        <w:numPr>
          <w:ilvl w:val="0"/>
          <w:numId w:val="7"/>
        </w:numPr>
        <w:ind w:right="-540"/>
      </w:pPr>
      <w:r>
        <w:t>PI contacts agencies for procedures to transfer awards to ISU.</w:t>
      </w:r>
    </w:p>
    <w:p w14:paraId="69EB1474" w14:textId="77777777" w:rsidR="00BF34F8" w:rsidRDefault="00257077" w:rsidP="00257077">
      <w:pPr>
        <w:pStyle w:val="ListParagraph"/>
        <w:numPr>
          <w:ilvl w:val="0"/>
          <w:numId w:val="7"/>
        </w:numPr>
        <w:ind w:right="-540"/>
      </w:pPr>
      <w:r>
        <w:t>PI obtains approval from the original institution to transfer awards.</w:t>
      </w:r>
    </w:p>
    <w:p w14:paraId="7A7C96AE" w14:textId="77777777" w:rsidR="00257077" w:rsidRDefault="00257077" w:rsidP="00257077">
      <w:pPr>
        <w:pStyle w:val="ListParagraph"/>
        <w:numPr>
          <w:ilvl w:val="0"/>
          <w:numId w:val="7"/>
        </w:numPr>
        <w:ind w:right="-540"/>
      </w:pPr>
      <w:r>
        <w:t>Sponsor is notified by original institution of the PI’s plans and the original institution’s willingness to transfer the awards.  Sponsors generally allow Change of Grantee Organization notices when:</w:t>
      </w:r>
    </w:p>
    <w:p w14:paraId="18AD8AAC" w14:textId="77777777" w:rsidR="00257077" w:rsidRDefault="00257077" w:rsidP="00257077">
      <w:pPr>
        <w:pStyle w:val="ListParagraph"/>
        <w:numPr>
          <w:ilvl w:val="1"/>
          <w:numId w:val="7"/>
        </w:numPr>
        <w:ind w:right="-540"/>
      </w:pPr>
      <w:r>
        <w:t xml:space="preserve">Original grantee institution agrees to relinquish </w:t>
      </w:r>
      <w:r w:rsidR="00BA3F1C">
        <w:t xml:space="preserve">award </w:t>
      </w:r>
      <w:r>
        <w:t>before award expiration</w:t>
      </w:r>
    </w:p>
    <w:p w14:paraId="54ADACE5" w14:textId="77777777" w:rsidR="00257077" w:rsidRDefault="00257077" w:rsidP="00257077">
      <w:pPr>
        <w:pStyle w:val="ListParagraph"/>
        <w:numPr>
          <w:ilvl w:val="1"/>
          <w:numId w:val="7"/>
        </w:numPr>
        <w:ind w:right="-540"/>
      </w:pPr>
      <w:r>
        <w:t xml:space="preserve">Change of grantee institution is </w:t>
      </w:r>
      <w:r w:rsidR="00BA3F1C">
        <w:t>made</w:t>
      </w:r>
      <w:r>
        <w:t xml:space="preserve"> before anticipated start date at ISU</w:t>
      </w:r>
    </w:p>
    <w:p w14:paraId="25CEA0D0" w14:textId="77777777" w:rsidR="005666A5" w:rsidRPr="005666A5" w:rsidRDefault="005666A5" w:rsidP="00B40F72">
      <w:pPr>
        <w:ind w:right="-540"/>
        <w:rPr>
          <w:b/>
        </w:rPr>
      </w:pPr>
      <w:r w:rsidRPr="005666A5">
        <w:rPr>
          <w:b/>
        </w:rPr>
        <w:t>The Transfer Process</w:t>
      </w:r>
    </w:p>
    <w:p w14:paraId="02FC1A51" w14:textId="77777777" w:rsidR="00590E96" w:rsidRPr="00590E96" w:rsidRDefault="00590E96" w:rsidP="00B40F72">
      <w:pPr>
        <w:ind w:right="-540"/>
      </w:pPr>
      <w:r w:rsidRPr="00590E96">
        <w:t>The next step is usually</w:t>
      </w:r>
      <w:r w:rsidR="005666A5">
        <w:t xml:space="preserve"> relinquishment</w:t>
      </w:r>
      <w:r w:rsidRPr="00590E96">
        <w:t xml:space="preserve"> paperwork</w:t>
      </w:r>
      <w:r w:rsidR="005666A5">
        <w:t>,</w:t>
      </w:r>
      <w:r w:rsidRPr="00590E96">
        <w:t xml:space="preserve"> required by the </w:t>
      </w:r>
      <w:r w:rsidR="005666A5">
        <w:t>sponsor and completed by the original institution</w:t>
      </w:r>
      <w:r w:rsidRPr="00590E96">
        <w:t xml:space="preserve">. </w:t>
      </w:r>
      <w:r>
        <w:t xml:space="preserve"> </w:t>
      </w:r>
      <w:r w:rsidRPr="00590E96">
        <w:t xml:space="preserve">These forms relinquish the original institution’s interests in the grant and provide an estimate of </w:t>
      </w:r>
      <w:r w:rsidRPr="00590E96">
        <w:lastRenderedPageBreak/>
        <w:t>funds remaining at the time of the</w:t>
      </w:r>
      <w:r w:rsidR="005666A5">
        <w:t xml:space="preserve"> transfer.  The original institution then </w:t>
      </w:r>
      <w:r w:rsidRPr="00590E96">
        <w:t>sub</w:t>
      </w:r>
      <w:r>
        <w:t>mits a relinquishing statement</w:t>
      </w:r>
      <w:r w:rsidR="005666A5">
        <w:t xml:space="preserve"> to the sponsor.</w:t>
      </w:r>
    </w:p>
    <w:p w14:paraId="1C8A453C" w14:textId="77777777" w:rsidR="00590E96" w:rsidRPr="00590E96" w:rsidRDefault="005666A5" w:rsidP="005666A5">
      <w:pPr>
        <w:ind w:right="-540"/>
      </w:pPr>
      <w:r>
        <w:t xml:space="preserve">Sponsors will send </w:t>
      </w:r>
      <w:r w:rsidR="00DB11C0">
        <w:t xml:space="preserve">the original institution </w:t>
      </w:r>
      <w:r w:rsidR="00590E96" w:rsidRPr="00590E96">
        <w:t xml:space="preserve">a revised </w:t>
      </w:r>
      <w:r w:rsidR="00DB11C0">
        <w:t>a</w:t>
      </w:r>
      <w:r w:rsidR="00590E96" w:rsidRPr="00590E96">
        <w:t xml:space="preserve">ward </w:t>
      </w:r>
      <w:r w:rsidR="00DB11C0">
        <w:t>document</w:t>
      </w:r>
      <w:r w:rsidR="00590E96" w:rsidRPr="00590E96">
        <w:t xml:space="preserve"> reflecting revised project period dates, deletion of future-year support, and de-obligation of remaining funds based on estimated funds remaining </w:t>
      </w:r>
      <w:r w:rsidR="00DB11C0">
        <w:t xml:space="preserve">listed </w:t>
      </w:r>
      <w:r w:rsidR="00590E96" w:rsidRPr="00590E96">
        <w:t>on Relinquishing Statement</w:t>
      </w:r>
    </w:p>
    <w:p w14:paraId="7F8EBDED" w14:textId="48E4397D" w:rsidR="00590E96" w:rsidRDefault="005666A5" w:rsidP="00B40F72">
      <w:pPr>
        <w:ind w:right="-540"/>
      </w:pPr>
      <w:r>
        <w:t xml:space="preserve">Then at ISU, </w:t>
      </w:r>
      <w:r w:rsidR="00590E96" w:rsidRPr="00590E96">
        <w:t>PI informs ISU of the appro</w:t>
      </w:r>
      <w:r w:rsidR="00590E96">
        <w:t>val of the project transfer</w:t>
      </w:r>
      <w:r>
        <w:t xml:space="preserve"> and the balance on the relinquishing statement</w:t>
      </w:r>
      <w:r w:rsidR="00590E96" w:rsidRPr="00590E96">
        <w:t>.</w:t>
      </w:r>
      <w:r w:rsidR="00590E96">
        <w:t xml:space="preserve">  </w:t>
      </w:r>
      <w:r w:rsidR="00DB11C0">
        <w:t xml:space="preserve">A </w:t>
      </w:r>
      <w:r w:rsidR="00090CD5">
        <w:t>Proposal Development (PD)</w:t>
      </w:r>
      <w:r w:rsidR="00DB11C0">
        <w:t xml:space="preserve"> must be routed for each transferred project.  </w:t>
      </w:r>
      <w:r w:rsidR="00590E96">
        <w:t xml:space="preserve"> The PI and Department will work together to create </w:t>
      </w:r>
      <w:r w:rsidR="006A66C0">
        <w:t xml:space="preserve">the ISU budget out of the </w:t>
      </w:r>
      <w:r w:rsidR="00864566">
        <w:t xml:space="preserve">transferred </w:t>
      </w:r>
      <w:r w:rsidR="006A66C0">
        <w:t>award amount</w:t>
      </w:r>
      <w:r w:rsidR="00590E96">
        <w:t xml:space="preserve">, adjusting the </w:t>
      </w:r>
      <w:r w:rsidR="002971E0">
        <w:t xml:space="preserve">remaining </w:t>
      </w:r>
      <w:r w:rsidR="00590E96">
        <w:t xml:space="preserve">award totals for </w:t>
      </w:r>
      <w:r w:rsidR="002971E0">
        <w:t>changes</w:t>
      </w:r>
      <w:r w:rsidR="00590E96">
        <w:t xml:space="preserve"> in salaries, fringe rates, IDC, etc.</w:t>
      </w:r>
      <w:r w:rsidR="002971E0">
        <w:t xml:space="preserve">  The budget, budget justification (if required) and a copy of the original solicitation and award to the original institution should also be attached to the </w:t>
      </w:r>
      <w:r w:rsidR="00090CD5">
        <w:t>PD</w:t>
      </w:r>
      <w:r w:rsidR="002971E0">
        <w:t xml:space="preserve"> whenever possible. </w:t>
      </w:r>
    </w:p>
    <w:p w14:paraId="2219279C" w14:textId="77777777" w:rsidR="002F48DC" w:rsidRPr="00590E96" w:rsidRDefault="00F26E07" w:rsidP="00B40F72">
      <w:pPr>
        <w:numPr>
          <w:ilvl w:val="1"/>
          <w:numId w:val="4"/>
        </w:numPr>
        <w:ind w:right="-540"/>
      </w:pPr>
      <w:r w:rsidRPr="00590E96">
        <w:t xml:space="preserve">If ISU’s </w:t>
      </w:r>
      <w:r w:rsidR="00590E96">
        <w:t xml:space="preserve">IDC </w:t>
      </w:r>
      <w:r w:rsidRPr="00590E96">
        <w:t xml:space="preserve">rate is higher, the project </w:t>
      </w:r>
      <w:r w:rsidR="00C2346D">
        <w:t xml:space="preserve">may continue to use the original institution’s </w:t>
      </w:r>
      <w:r w:rsidR="002971E0">
        <w:t xml:space="preserve">IDC </w:t>
      </w:r>
      <w:r w:rsidR="00C2346D">
        <w:t>rate for the remainder of the award</w:t>
      </w:r>
      <w:r w:rsidR="00736BC8">
        <w:t>, unless the sponsor requires the rate to be changed</w:t>
      </w:r>
      <w:r w:rsidR="00C2346D">
        <w:t xml:space="preserve">.  </w:t>
      </w:r>
      <w:r w:rsidRPr="00590E96">
        <w:t xml:space="preserve">If ISU’s rate is lower, the difference </w:t>
      </w:r>
      <w:r w:rsidR="002971E0">
        <w:t>should</w:t>
      </w:r>
      <w:r w:rsidRPr="00590E96">
        <w:t xml:space="preserve"> be </w:t>
      </w:r>
      <w:r w:rsidR="00C2346D">
        <w:t>applied to direct costs.</w:t>
      </w:r>
    </w:p>
    <w:p w14:paraId="3A113E8D" w14:textId="77777777" w:rsidR="002F48DC" w:rsidRDefault="00C2346D" w:rsidP="00B40F72">
      <w:pPr>
        <w:numPr>
          <w:ilvl w:val="1"/>
          <w:numId w:val="4"/>
        </w:numPr>
        <w:ind w:right="-540"/>
      </w:pPr>
      <w:r>
        <w:t>If subawards are issued by</w:t>
      </w:r>
      <w:r w:rsidR="00F26E07" w:rsidRPr="00590E96">
        <w:t xml:space="preserve"> ISU to original</w:t>
      </w:r>
      <w:r>
        <w:t xml:space="preserve"> institution, this is treated as a new subaward.  A budget, budget justification, scope of work, and </w:t>
      </w:r>
      <w:r w:rsidR="002971E0">
        <w:t>transmittal letter</w:t>
      </w:r>
      <w:r>
        <w:t xml:space="preserve"> will be required to process this sub-award.</w:t>
      </w:r>
    </w:p>
    <w:p w14:paraId="42996783" w14:textId="0D616B8B" w:rsidR="001675CC" w:rsidRDefault="002971E0" w:rsidP="001675CC">
      <w:pPr>
        <w:ind w:right="-540"/>
      </w:pPr>
      <w:r>
        <w:t>Normally, t</w:t>
      </w:r>
      <w:r w:rsidR="00D72BEB">
        <w:t>he PI and department will work with the program officer to initiate the transfer</w:t>
      </w:r>
      <w:r>
        <w:t>.</w:t>
      </w:r>
      <w:r w:rsidR="00D72BEB">
        <w:t xml:space="preserve">  Then the PI/ Grant Coordinator/ OSPA staff member will complete and submit according to the directions of the program officer.</w:t>
      </w:r>
      <w:r w:rsidR="001675CC">
        <w:t xml:space="preserve"> </w:t>
      </w:r>
      <w:r>
        <w:t>T</w:t>
      </w:r>
      <w:r w:rsidR="001675CC">
        <w:t xml:space="preserve">he ISU budget, budget justification and proposal information </w:t>
      </w:r>
      <w:r>
        <w:t>may need</w:t>
      </w:r>
      <w:r w:rsidR="001675CC">
        <w:t xml:space="preserve"> to be entered into </w:t>
      </w:r>
      <w:r w:rsidR="00090CD5">
        <w:t>Research.gov</w:t>
      </w:r>
      <w:r w:rsidR="001675CC">
        <w:t>/</w:t>
      </w:r>
      <w:proofErr w:type="spellStart"/>
      <w:r w:rsidR="001675CC">
        <w:t>eRA</w:t>
      </w:r>
      <w:proofErr w:type="spellEnd"/>
      <w:r w:rsidR="001675CC">
        <w:t xml:space="preserve"> Commons/</w:t>
      </w:r>
      <w:r w:rsidR="00090CD5">
        <w:t>Streamlyne S2S</w:t>
      </w:r>
      <w:r w:rsidR="001675CC">
        <w:t xml:space="preserve"> or some other electronic system to be submitted to the sponsor</w:t>
      </w:r>
      <w:r>
        <w:t xml:space="preserve"> </w:t>
      </w:r>
      <w:proofErr w:type="gramStart"/>
      <w:r>
        <w:t>in order for</w:t>
      </w:r>
      <w:proofErr w:type="gramEnd"/>
      <w:r>
        <w:t xml:space="preserve"> the transfer to be authorized by the awarding institution</w:t>
      </w:r>
      <w:r w:rsidR="001675CC">
        <w:t xml:space="preserve">.  </w:t>
      </w:r>
    </w:p>
    <w:p w14:paraId="1224E096" w14:textId="77777777" w:rsidR="00D72BEB" w:rsidRDefault="00D72BEB" w:rsidP="00B40F72">
      <w:pPr>
        <w:ind w:right="-540"/>
      </w:pPr>
    </w:p>
    <w:p w14:paraId="2BC8A5B9" w14:textId="77777777" w:rsidR="00D72BEB" w:rsidRPr="00D72BEB" w:rsidRDefault="00D72BEB" w:rsidP="00B40F72">
      <w:pPr>
        <w:ind w:right="-540"/>
      </w:pPr>
      <w:r>
        <w:rPr>
          <w:b/>
        </w:rPr>
        <w:t xml:space="preserve">Transfers Prior to </w:t>
      </w:r>
      <w:r w:rsidR="002971E0">
        <w:rPr>
          <w:b/>
        </w:rPr>
        <w:t xml:space="preserve">Execution of </w:t>
      </w:r>
      <w:r>
        <w:rPr>
          <w:b/>
        </w:rPr>
        <w:t>Award</w:t>
      </w:r>
    </w:p>
    <w:p w14:paraId="4B8A6BC5" w14:textId="50489735" w:rsidR="005528CC" w:rsidRPr="00590E96" w:rsidRDefault="002971E0" w:rsidP="00B40F72">
      <w:pPr>
        <w:ind w:right="-540"/>
      </w:pPr>
      <w:r>
        <w:t>If an</w:t>
      </w:r>
      <w:r w:rsidR="005528CC">
        <w:t xml:space="preserve"> award has not been made</w:t>
      </w:r>
      <w:r>
        <w:t xml:space="preserve"> to the original institution</w:t>
      </w:r>
      <w:r w:rsidR="005528CC">
        <w:t>,</w:t>
      </w:r>
      <w:r w:rsidR="00D72BEB">
        <w:t xml:space="preserve"> but the PI has received the intent to fund</w:t>
      </w:r>
      <w:r w:rsidR="008F5A6C">
        <w:t>, the</w:t>
      </w:r>
      <w:r w:rsidR="005528CC">
        <w:t xml:space="preserve"> </w:t>
      </w:r>
      <w:r>
        <w:t>p</w:t>
      </w:r>
      <w:r w:rsidR="005528CC">
        <w:t xml:space="preserve">rogram </w:t>
      </w:r>
      <w:r>
        <w:t>o</w:t>
      </w:r>
      <w:r w:rsidR="005528CC">
        <w:t xml:space="preserve">fficer will </w:t>
      </w:r>
      <w:r>
        <w:t>likely</w:t>
      </w:r>
      <w:r w:rsidR="005528CC">
        <w:t xml:space="preserve"> handle the transfer “behind the scenes” by </w:t>
      </w:r>
      <w:r w:rsidR="00D72BEB">
        <w:t>processing the award transfer manually.  In this case, ISU</w:t>
      </w:r>
      <w:r w:rsidR="005528CC">
        <w:t xml:space="preserve"> may be asked to complete a cover page and/or other forms to be emailed to the </w:t>
      </w:r>
      <w:r>
        <w:t>p</w:t>
      </w:r>
      <w:r w:rsidR="005528CC">
        <w:t xml:space="preserve">rogram </w:t>
      </w:r>
      <w:r>
        <w:t>o</w:t>
      </w:r>
      <w:r w:rsidR="005528CC">
        <w:t xml:space="preserve">fficer </w:t>
      </w:r>
      <w:r>
        <w:t xml:space="preserve">along </w:t>
      </w:r>
      <w:r w:rsidR="005528CC">
        <w:t xml:space="preserve">with the budget information.  </w:t>
      </w:r>
      <w:r w:rsidR="00864566">
        <w:t xml:space="preserve">Just as with any project, a </w:t>
      </w:r>
      <w:r w:rsidR="00090CD5">
        <w:t>PD</w:t>
      </w:r>
      <w:r w:rsidR="00864566">
        <w:t xml:space="preserve"> will be routed for approval. </w:t>
      </w:r>
    </w:p>
    <w:p w14:paraId="18553BEF" w14:textId="77777777" w:rsidR="00590E96" w:rsidRDefault="00D72BEB" w:rsidP="00B40F72">
      <w:pPr>
        <w:ind w:right="-540"/>
      </w:pPr>
      <w:r>
        <w:t xml:space="preserve">Remember that the original institution may need extra time to </w:t>
      </w:r>
      <w:r w:rsidR="002971E0">
        <w:t>complete</w:t>
      </w:r>
      <w:r>
        <w:t xml:space="preserve"> the relinquishment request, so each transfer </w:t>
      </w:r>
      <w:r w:rsidR="002971E0">
        <w:t>may</w:t>
      </w:r>
      <w:r>
        <w:t xml:space="preserve"> likely take much longer than can ever be anticipated.</w:t>
      </w:r>
    </w:p>
    <w:p w14:paraId="18E911B9" w14:textId="77777777" w:rsidR="001C07C9" w:rsidRDefault="00B40F72" w:rsidP="001C07C9">
      <w:pPr>
        <w:spacing w:line="240" w:lineRule="auto"/>
        <w:ind w:right="-540"/>
        <w:jc w:val="center"/>
        <w:rPr>
          <w:b/>
        </w:rPr>
      </w:pPr>
      <w:r w:rsidRPr="003D4BD9">
        <w:rPr>
          <w:b/>
        </w:rPr>
        <w:t>In order to avoid problems with the transfers</w:t>
      </w:r>
      <w:r w:rsidR="002971E0">
        <w:rPr>
          <w:b/>
        </w:rPr>
        <w:t xml:space="preserve"> to ISU</w:t>
      </w:r>
      <w:r w:rsidRPr="003D4BD9">
        <w:rPr>
          <w:b/>
        </w:rPr>
        <w:t>:</w:t>
      </w:r>
    </w:p>
    <w:p w14:paraId="4059AE23" w14:textId="77777777" w:rsidR="002971E0" w:rsidRDefault="001C07C9" w:rsidP="002971E0">
      <w:pPr>
        <w:spacing w:line="240" w:lineRule="auto"/>
        <w:ind w:right="-540"/>
        <w:jc w:val="center"/>
        <w:rPr>
          <w:b/>
        </w:rPr>
      </w:pPr>
      <w:r>
        <w:rPr>
          <w:b/>
        </w:rPr>
        <w:t>Communicate early</w:t>
      </w:r>
      <w:r w:rsidR="00D72BEB">
        <w:rPr>
          <w:b/>
        </w:rPr>
        <w:t xml:space="preserve"> and often</w:t>
      </w:r>
    </w:p>
    <w:p w14:paraId="4B7A5CF1" w14:textId="77777777" w:rsidR="002971E0" w:rsidRDefault="00D72BEB" w:rsidP="002971E0">
      <w:pPr>
        <w:spacing w:line="240" w:lineRule="auto"/>
        <w:ind w:right="-540"/>
        <w:jc w:val="center"/>
        <w:rPr>
          <w:b/>
        </w:rPr>
      </w:pPr>
      <w:r>
        <w:rPr>
          <w:b/>
        </w:rPr>
        <w:t>Understand</w:t>
      </w:r>
      <w:r w:rsidR="00B40F72" w:rsidRPr="003D4BD9">
        <w:rPr>
          <w:b/>
        </w:rPr>
        <w:t xml:space="preserve"> the sponsor’s </w:t>
      </w:r>
      <w:r w:rsidR="002971E0">
        <w:rPr>
          <w:b/>
        </w:rPr>
        <w:t>transfer process</w:t>
      </w:r>
    </w:p>
    <w:p w14:paraId="304C566E" w14:textId="77777777" w:rsidR="00B40F72" w:rsidRPr="003D4BD9" w:rsidRDefault="001C07C9" w:rsidP="001C07C9">
      <w:pPr>
        <w:spacing w:line="360" w:lineRule="auto"/>
        <w:ind w:right="-540"/>
        <w:jc w:val="center"/>
        <w:rPr>
          <w:b/>
        </w:rPr>
      </w:pPr>
      <w:r>
        <w:rPr>
          <w:b/>
        </w:rPr>
        <w:t>W</w:t>
      </w:r>
      <w:r w:rsidR="00B40F72" w:rsidRPr="003D4BD9">
        <w:rPr>
          <w:b/>
        </w:rPr>
        <w:t>ork closel</w:t>
      </w:r>
      <w:r>
        <w:rPr>
          <w:b/>
        </w:rPr>
        <w:t>y with OSPA</w:t>
      </w:r>
      <w:r w:rsidR="00D72BEB">
        <w:rPr>
          <w:b/>
        </w:rPr>
        <w:t xml:space="preserve"> </w:t>
      </w:r>
      <w:r w:rsidR="002971E0">
        <w:rPr>
          <w:b/>
        </w:rPr>
        <w:t>Pre-Award</w:t>
      </w:r>
    </w:p>
    <w:sectPr w:rsidR="00B40F72" w:rsidRPr="003D4BD9" w:rsidSect="00DB6812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9A9"/>
    <w:multiLevelType w:val="hybridMultilevel"/>
    <w:tmpl w:val="8C4019FA"/>
    <w:lvl w:ilvl="0" w:tplc="CBF4D75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314F0D"/>
    <w:multiLevelType w:val="hybridMultilevel"/>
    <w:tmpl w:val="370C4A7A"/>
    <w:lvl w:ilvl="0" w:tplc="CC5A2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E3AD2"/>
    <w:multiLevelType w:val="hybridMultilevel"/>
    <w:tmpl w:val="FE54728E"/>
    <w:lvl w:ilvl="0" w:tplc="B5A4F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F2162"/>
    <w:multiLevelType w:val="hybridMultilevel"/>
    <w:tmpl w:val="BE1021E2"/>
    <w:lvl w:ilvl="0" w:tplc="39A4C3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E48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27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248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45D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AF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468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6DE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843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5673AA"/>
    <w:multiLevelType w:val="hybridMultilevel"/>
    <w:tmpl w:val="FF0E3F0E"/>
    <w:lvl w:ilvl="0" w:tplc="62BA0B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03A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EF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A05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C0D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84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EFE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443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A70660"/>
    <w:multiLevelType w:val="hybridMultilevel"/>
    <w:tmpl w:val="98907016"/>
    <w:lvl w:ilvl="0" w:tplc="7D00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A4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E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A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6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68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24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EC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FA3F4A"/>
    <w:multiLevelType w:val="hybridMultilevel"/>
    <w:tmpl w:val="5FEAEA14"/>
    <w:lvl w:ilvl="0" w:tplc="B0FC51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628593">
    <w:abstractNumId w:val="6"/>
  </w:num>
  <w:num w:numId="2" w16cid:durableId="766001930">
    <w:abstractNumId w:val="0"/>
  </w:num>
  <w:num w:numId="3" w16cid:durableId="439420424">
    <w:abstractNumId w:val="2"/>
  </w:num>
  <w:num w:numId="4" w16cid:durableId="650597491">
    <w:abstractNumId w:val="4"/>
  </w:num>
  <w:num w:numId="5" w16cid:durableId="1138105139">
    <w:abstractNumId w:val="3"/>
  </w:num>
  <w:num w:numId="6" w16cid:durableId="659043623">
    <w:abstractNumId w:val="5"/>
  </w:num>
  <w:num w:numId="7" w16cid:durableId="85604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41"/>
    <w:rsid w:val="0005187D"/>
    <w:rsid w:val="00055189"/>
    <w:rsid w:val="00055627"/>
    <w:rsid w:val="00090CD5"/>
    <w:rsid w:val="00115541"/>
    <w:rsid w:val="001675CC"/>
    <w:rsid w:val="001C07C9"/>
    <w:rsid w:val="0020769B"/>
    <w:rsid w:val="00211E53"/>
    <w:rsid w:val="00254D71"/>
    <w:rsid w:val="00257077"/>
    <w:rsid w:val="002971E0"/>
    <w:rsid w:val="002F48DC"/>
    <w:rsid w:val="003C7A60"/>
    <w:rsid w:val="003D4BD9"/>
    <w:rsid w:val="003E0F05"/>
    <w:rsid w:val="00461347"/>
    <w:rsid w:val="005528CC"/>
    <w:rsid w:val="005666A5"/>
    <w:rsid w:val="00590E96"/>
    <w:rsid w:val="005B4807"/>
    <w:rsid w:val="00626D56"/>
    <w:rsid w:val="006A57AC"/>
    <w:rsid w:val="006A66C0"/>
    <w:rsid w:val="007039D4"/>
    <w:rsid w:val="00736BC8"/>
    <w:rsid w:val="00864566"/>
    <w:rsid w:val="008E425D"/>
    <w:rsid w:val="008F5A6C"/>
    <w:rsid w:val="00970F74"/>
    <w:rsid w:val="00B40F72"/>
    <w:rsid w:val="00BA3F1C"/>
    <w:rsid w:val="00BD2067"/>
    <w:rsid w:val="00BF34F8"/>
    <w:rsid w:val="00C2346D"/>
    <w:rsid w:val="00C656AC"/>
    <w:rsid w:val="00D72BEB"/>
    <w:rsid w:val="00DB11C0"/>
    <w:rsid w:val="00DB6812"/>
    <w:rsid w:val="00E623BD"/>
    <w:rsid w:val="00EC3A06"/>
    <w:rsid w:val="00F0715C"/>
    <w:rsid w:val="00F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098C"/>
  <w15:docId w15:val="{4489BF97-EEA3-4E29-B879-3099C26B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6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7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25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7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7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4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9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3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2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0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pa-proposals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Stallmann, Kristy J [S P]</dc:creator>
  <cp:lastModifiedBy>Fonseca Ricke, Sara M [S P]</cp:lastModifiedBy>
  <cp:revision>2</cp:revision>
  <cp:lastPrinted>2015-08-11T13:15:00Z</cp:lastPrinted>
  <dcterms:created xsi:type="dcterms:W3CDTF">2024-04-16T13:53:00Z</dcterms:created>
  <dcterms:modified xsi:type="dcterms:W3CDTF">2024-04-16T13:53:00Z</dcterms:modified>
</cp:coreProperties>
</file>